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FA9" w:rsidRDefault="00887FA9"/>
    <w:p w:rsidR="00B31E93" w:rsidRDefault="00B31E93" w:rsidP="00A80D47">
      <w:pPr>
        <w:rPr>
          <w:b/>
          <w:i/>
          <w:sz w:val="24"/>
          <w:szCs w:val="24"/>
        </w:rPr>
      </w:pPr>
    </w:p>
    <w:p w:rsidR="00B31E93" w:rsidRDefault="00B31E93" w:rsidP="00A80D47">
      <w:pPr>
        <w:rPr>
          <w:b/>
          <w:i/>
          <w:sz w:val="24"/>
          <w:szCs w:val="24"/>
        </w:rPr>
      </w:pPr>
    </w:p>
    <w:p w:rsidR="00B31E93" w:rsidRDefault="00B31E93" w:rsidP="00A80D47">
      <w:pPr>
        <w:rPr>
          <w:b/>
          <w:i/>
          <w:sz w:val="24"/>
          <w:szCs w:val="24"/>
        </w:rPr>
      </w:pPr>
    </w:p>
    <w:p w:rsidR="00B31E93" w:rsidRDefault="00B31E93" w:rsidP="00A80D47">
      <w:pPr>
        <w:rPr>
          <w:b/>
          <w:i/>
          <w:sz w:val="24"/>
          <w:szCs w:val="24"/>
        </w:rPr>
      </w:pPr>
    </w:p>
    <w:p w:rsidR="00B31E93" w:rsidRDefault="00B31E93" w:rsidP="00A80D47">
      <w:pPr>
        <w:rPr>
          <w:b/>
          <w:i/>
          <w:sz w:val="24"/>
          <w:szCs w:val="24"/>
        </w:rPr>
      </w:pPr>
    </w:p>
    <w:p w:rsidR="00B31E93" w:rsidRDefault="00B31E93" w:rsidP="00A80D47">
      <w:pPr>
        <w:rPr>
          <w:b/>
          <w:i/>
          <w:sz w:val="24"/>
          <w:szCs w:val="24"/>
        </w:rPr>
      </w:pPr>
    </w:p>
    <w:p w:rsidR="00B31E93" w:rsidRDefault="00B31E93" w:rsidP="00A80D47">
      <w:pPr>
        <w:rPr>
          <w:b/>
          <w:i/>
          <w:sz w:val="24"/>
          <w:szCs w:val="24"/>
        </w:rPr>
      </w:pPr>
    </w:p>
    <w:p w:rsidR="00B31E93" w:rsidRDefault="00B31E93" w:rsidP="00A80D47">
      <w:pPr>
        <w:rPr>
          <w:b/>
          <w:i/>
          <w:sz w:val="24"/>
          <w:szCs w:val="24"/>
        </w:rPr>
      </w:pPr>
    </w:p>
    <w:p w:rsidR="00B31E93" w:rsidRDefault="00B31E93" w:rsidP="00A80D47">
      <w:pPr>
        <w:rPr>
          <w:b/>
          <w:i/>
          <w:sz w:val="24"/>
          <w:szCs w:val="24"/>
        </w:rPr>
      </w:pPr>
    </w:p>
    <w:p w:rsidR="00B31E93" w:rsidRDefault="00B31E93" w:rsidP="00A80D47">
      <w:pPr>
        <w:rPr>
          <w:b/>
          <w:i/>
          <w:sz w:val="24"/>
          <w:szCs w:val="24"/>
        </w:rPr>
      </w:pPr>
    </w:p>
    <w:p w:rsidR="00B31E93" w:rsidRDefault="00B31E93" w:rsidP="00A80D47">
      <w:pPr>
        <w:rPr>
          <w:b/>
          <w:i/>
          <w:sz w:val="24"/>
          <w:szCs w:val="24"/>
        </w:rPr>
      </w:pPr>
    </w:p>
    <w:p w:rsidR="00B31E93" w:rsidRDefault="00B31E93" w:rsidP="00A80D47">
      <w:pPr>
        <w:rPr>
          <w:b/>
          <w:i/>
          <w:sz w:val="24"/>
          <w:szCs w:val="24"/>
        </w:rPr>
      </w:pPr>
    </w:p>
    <w:p w:rsidR="00B31E93" w:rsidRDefault="00B31E93" w:rsidP="00A80D47">
      <w:pPr>
        <w:rPr>
          <w:b/>
          <w:i/>
          <w:sz w:val="24"/>
          <w:szCs w:val="24"/>
        </w:rPr>
      </w:pPr>
    </w:p>
    <w:p w:rsidR="00B31E93" w:rsidRDefault="00B31E93" w:rsidP="00A80D47">
      <w:pPr>
        <w:rPr>
          <w:b/>
          <w:i/>
          <w:sz w:val="24"/>
          <w:szCs w:val="24"/>
        </w:rPr>
      </w:pPr>
    </w:p>
    <w:p w:rsidR="00B31E93" w:rsidRDefault="00B31E93" w:rsidP="00A80D47">
      <w:pPr>
        <w:rPr>
          <w:b/>
          <w:i/>
          <w:sz w:val="24"/>
          <w:szCs w:val="24"/>
        </w:rPr>
      </w:pPr>
    </w:p>
    <w:p w:rsidR="00B31E93" w:rsidRDefault="00B31E93" w:rsidP="00A80D47">
      <w:pPr>
        <w:rPr>
          <w:b/>
          <w:i/>
          <w:sz w:val="24"/>
          <w:szCs w:val="24"/>
        </w:rPr>
      </w:pPr>
    </w:p>
    <w:p w:rsidR="00B31E93" w:rsidRDefault="00B31E93" w:rsidP="00A80D47">
      <w:pPr>
        <w:rPr>
          <w:b/>
          <w:i/>
          <w:sz w:val="24"/>
          <w:szCs w:val="24"/>
        </w:rPr>
      </w:pPr>
    </w:p>
    <w:p w:rsidR="00B31E93" w:rsidRDefault="00B31E93" w:rsidP="00A80D47">
      <w:pPr>
        <w:rPr>
          <w:b/>
          <w:i/>
          <w:sz w:val="24"/>
          <w:szCs w:val="24"/>
        </w:rPr>
      </w:pPr>
    </w:p>
    <w:p w:rsidR="00B31E93" w:rsidRDefault="00B31E93" w:rsidP="00A80D47">
      <w:pPr>
        <w:rPr>
          <w:b/>
          <w:i/>
          <w:sz w:val="24"/>
          <w:szCs w:val="24"/>
        </w:rPr>
      </w:pPr>
    </w:p>
    <w:p w:rsidR="00B31E93" w:rsidRDefault="00B31E93" w:rsidP="00A80D47">
      <w:pPr>
        <w:rPr>
          <w:b/>
          <w:i/>
          <w:sz w:val="24"/>
          <w:szCs w:val="24"/>
        </w:rPr>
      </w:pPr>
    </w:p>
    <w:p w:rsidR="00B31E93" w:rsidRPr="00914182" w:rsidRDefault="00B31E93" w:rsidP="00B31E93">
      <w:pPr>
        <w:jc w:val="right"/>
        <w:rPr>
          <w:b/>
          <w:i/>
          <w:color w:val="C0504D" w:themeColor="accent2"/>
          <w:sz w:val="40"/>
          <w:szCs w:val="40"/>
        </w:rPr>
      </w:pPr>
      <w:r w:rsidRPr="00914182">
        <w:rPr>
          <w:b/>
          <w:i/>
          <w:color w:val="C0504D" w:themeColor="accent2"/>
          <w:sz w:val="24"/>
          <w:szCs w:val="24"/>
        </w:rPr>
        <w:t xml:space="preserve">                      </w:t>
      </w:r>
      <w:r w:rsidR="008254EF">
        <w:rPr>
          <w:b/>
          <w:i/>
          <w:color w:val="C0504D" w:themeColor="accent2"/>
          <w:sz w:val="24"/>
          <w:szCs w:val="24"/>
        </w:rPr>
        <w:t xml:space="preserve">   </w:t>
      </w:r>
      <w:r w:rsidRPr="00914182">
        <w:rPr>
          <w:b/>
          <w:i/>
          <w:color w:val="C0504D" w:themeColor="accent2"/>
          <w:sz w:val="40"/>
          <w:szCs w:val="40"/>
        </w:rPr>
        <w:t>PRE</w:t>
      </w:r>
      <w:r w:rsidR="00BF64E5">
        <w:rPr>
          <w:b/>
          <w:i/>
          <w:color w:val="C0504D" w:themeColor="accent2"/>
          <w:sz w:val="40"/>
          <w:szCs w:val="40"/>
        </w:rPr>
        <w:t>SUPUESTO FACULTAD EDUCACIÓN/2017</w:t>
      </w:r>
    </w:p>
    <w:p w:rsidR="00B31E93" w:rsidRDefault="00B31E93" w:rsidP="00B31E93">
      <w:pPr>
        <w:jc w:val="right"/>
        <w:rPr>
          <w:b/>
          <w:i/>
          <w:sz w:val="40"/>
          <w:szCs w:val="40"/>
        </w:rPr>
      </w:pPr>
    </w:p>
    <w:p w:rsidR="00B31E93" w:rsidRDefault="00B31E93" w:rsidP="00B31E93">
      <w:pPr>
        <w:jc w:val="right"/>
        <w:rPr>
          <w:b/>
          <w:i/>
          <w:sz w:val="40"/>
          <w:szCs w:val="40"/>
        </w:rPr>
      </w:pPr>
    </w:p>
    <w:p w:rsidR="00B31E93" w:rsidRPr="00B31E93" w:rsidRDefault="00B31E93" w:rsidP="00B31E93">
      <w:pPr>
        <w:jc w:val="right"/>
        <w:rPr>
          <w:b/>
          <w:i/>
        </w:rPr>
      </w:pPr>
    </w:p>
    <w:p w:rsidR="00B31E93" w:rsidRDefault="00B31E93" w:rsidP="00B31E93">
      <w:pPr>
        <w:jc w:val="center"/>
        <w:rPr>
          <w:b/>
          <w:i/>
          <w:sz w:val="32"/>
          <w:szCs w:val="32"/>
        </w:rPr>
      </w:pPr>
    </w:p>
    <w:p w:rsidR="00B31E93" w:rsidRDefault="00B31E93" w:rsidP="00B31E93">
      <w:pPr>
        <w:jc w:val="center"/>
        <w:rPr>
          <w:b/>
          <w:i/>
          <w:sz w:val="32"/>
          <w:szCs w:val="32"/>
        </w:rPr>
      </w:pPr>
    </w:p>
    <w:p w:rsidR="00B31E93" w:rsidRPr="00914182" w:rsidRDefault="00B31E93" w:rsidP="00B31E93">
      <w:pPr>
        <w:jc w:val="center"/>
        <w:rPr>
          <w:b/>
          <w:i/>
          <w:color w:val="C0504D" w:themeColor="accent2"/>
          <w:sz w:val="32"/>
          <w:szCs w:val="32"/>
        </w:rPr>
      </w:pPr>
      <w:r w:rsidRPr="00914182">
        <w:rPr>
          <w:b/>
          <w:i/>
          <w:color w:val="C0504D" w:themeColor="accent2"/>
          <w:sz w:val="32"/>
          <w:szCs w:val="32"/>
        </w:rPr>
        <w:t>SUMARIO</w:t>
      </w:r>
    </w:p>
    <w:p w:rsidR="00B31E93" w:rsidRDefault="00B31E93" w:rsidP="00B31E93">
      <w:pPr>
        <w:jc w:val="center"/>
        <w:rPr>
          <w:b/>
          <w:i/>
          <w:sz w:val="32"/>
          <w:szCs w:val="32"/>
        </w:rPr>
      </w:pPr>
    </w:p>
    <w:p w:rsidR="00B31E93" w:rsidRPr="00B31E93" w:rsidRDefault="00B31E93" w:rsidP="00B31E93">
      <w:pPr>
        <w:jc w:val="center"/>
        <w:rPr>
          <w:b/>
          <w:i/>
          <w:sz w:val="32"/>
          <w:szCs w:val="32"/>
        </w:rPr>
      </w:pPr>
    </w:p>
    <w:p w:rsidR="00B31E93" w:rsidRDefault="00BF64E5" w:rsidP="00B31E93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Resumen Presupuesto/2017</w:t>
      </w:r>
      <w:r w:rsidR="00B31E93">
        <w:rPr>
          <w:b/>
          <w:i/>
          <w:sz w:val="24"/>
          <w:szCs w:val="24"/>
        </w:rPr>
        <w:tab/>
      </w:r>
    </w:p>
    <w:p w:rsidR="00B31E93" w:rsidRDefault="00B31E93" w:rsidP="00B31E93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</w:p>
    <w:p w:rsidR="00B31E93" w:rsidRDefault="00B31E93" w:rsidP="00B31E93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Documento nº 1 “</w:t>
      </w:r>
      <w:r w:rsidR="00370F66">
        <w:rPr>
          <w:b/>
          <w:i/>
          <w:sz w:val="24"/>
          <w:szCs w:val="24"/>
        </w:rPr>
        <w:t>Informe de situación de los créditos asignados a los Centros</w:t>
      </w:r>
      <w:r>
        <w:rPr>
          <w:b/>
          <w:i/>
          <w:sz w:val="24"/>
          <w:szCs w:val="24"/>
        </w:rPr>
        <w:t>”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</w:p>
    <w:p w:rsidR="00B31E93" w:rsidRDefault="00B31E93" w:rsidP="00B31E93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</w:p>
    <w:p w:rsidR="00B31E93" w:rsidRDefault="00B31E93" w:rsidP="00B31E93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Documento nº 2 “</w:t>
      </w:r>
      <w:r w:rsidR="00370F66">
        <w:rPr>
          <w:b/>
          <w:i/>
          <w:sz w:val="24"/>
          <w:szCs w:val="24"/>
        </w:rPr>
        <w:t>Informe de Gastos Corrientes – Informe de Saldos</w:t>
      </w:r>
      <w:r>
        <w:rPr>
          <w:b/>
          <w:i/>
          <w:sz w:val="24"/>
          <w:szCs w:val="24"/>
        </w:rPr>
        <w:t>”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</w:p>
    <w:p w:rsidR="00B31E93" w:rsidRDefault="00B31E93" w:rsidP="00B31E93">
      <w:pPr>
        <w:rPr>
          <w:b/>
          <w:i/>
          <w:sz w:val="24"/>
          <w:szCs w:val="24"/>
        </w:rPr>
      </w:pPr>
    </w:p>
    <w:p w:rsidR="00B31E93" w:rsidRDefault="00B31E93" w:rsidP="00A80D47">
      <w:pPr>
        <w:rPr>
          <w:b/>
          <w:i/>
          <w:sz w:val="24"/>
          <w:szCs w:val="24"/>
        </w:rPr>
      </w:pPr>
    </w:p>
    <w:p w:rsidR="00B31E93" w:rsidRDefault="00B31E93" w:rsidP="00B31E93">
      <w:pPr>
        <w:jc w:val="center"/>
        <w:rPr>
          <w:b/>
          <w:i/>
          <w:sz w:val="28"/>
          <w:szCs w:val="28"/>
          <w:u w:val="single"/>
        </w:rPr>
      </w:pPr>
    </w:p>
    <w:p w:rsidR="00B31E93" w:rsidRDefault="00B31E93" w:rsidP="00B31E93">
      <w:pPr>
        <w:jc w:val="center"/>
        <w:rPr>
          <w:b/>
          <w:i/>
          <w:sz w:val="28"/>
          <w:szCs w:val="28"/>
          <w:u w:val="single"/>
        </w:rPr>
      </w:pPr>
    </w:p>
    <w:p w:rsidR="00B31E93" w:rsidRDefault="00B31E93" w:rsidP="00B31E93">
      <w:pPr>
        <w:jc w:val="center"/>
        <w:rPr>
          <w:b/>
          <w:i/>
          <w:sz w:val="28"/>
          <w:szCs w:val="28"/>
          <w:u w:val="single"/>
        </w:rPr>
      </w:pPr>
    </w:p>
    <w:p w:rsidR="00B31E93" w:rsidRDefault="00B31E93" w:rsidP="00B31E93">
      <w:pPr>
        <w:jc w:val="center"/>
        <w:rPr>
          <w:b/>
          <w:i/>
          <w:sz w:val="28"/>
          <w:szCs w:val="28"/>
          <w:u w:val="single"/>
        </w:rPr>
      </w:pPr>
    </w:p>
    <w:p w:rsidR="00B31E93" w:rsidRDefault="00B31E93" w:rsidP="00B31E93">
      <w:pPr>
        <w:jc w:val="center"/>
        <w:rPr>
          <w:b/>
          <w:i/>
          <w:sz w:val="28"/>
          <w:szCs w:val="28"/>
          <w:u w:val="single"/>
        </w:rPr>
      </w:pPr>
    </w:p>
    <w:p w:rsidR="00B31E93" w:rsidRDefault="00B31E93" w:rsidP="00B31E93">
      <w:pPr>
        <w:jc w:val="center"/>
        <w:rPr>
          <w:b/>
          <w:i/>
          <w:sz w:val="28"/>
          <w:szCs w:val="28"/>
          <w:u w:val="single"/>
        </w:rPr>
      </w:pPr>
    </w:p>
    <w:p w:rsidR="00B31E93" w:rsidRDefault="00B31E93" w:rsidP="00B31E93">
      <w:pPr>
        <w:jc w:val="center"/>
        <w:rPr>
          <w:b/>
          <w:i/>
          <w:sz w:val="28"/>
          <w:szCs w:val="28"/>
          <w:u w:val="single"/>
        </w:rPr>
      </w:pPr>
    </w:p>
    <w:p w:rsidR="00B31E93" w:rsidRDefault="00B31E93" w:rsidP="00B31E93">
      <w:pPr>
        <w:jc w:val="center"/>
        <w:rPr>
          <w:b/>
          <w:i/>
          <w:sz w:val="28"/>
          <w:szCs w:val="28"/>
          <w:u w:val="single"/>
        </w:rPr>
      </w:pPr>
    </w:p>
    <w:p w:rsidR="00B31E93" w:rsidRDefault="00B31E93" w:rsidP="00B31E93">
      <w:pPr>
        <w:jc w:val="center"/>
        <w:rPr>
          <w:b/>
          <w:i/>
          <w:sz w:val="28"/>
          <w:szCs w:val="28"/>
          <w:u w:val="single"/>
        </w:rPr>
      </w:pPr>
    </w:p>
    <w:p w:rsidR="00B31E93" w:rsidRDefault="00B31E93" w:rsidP="00B31E93">
      <w:pPr>
        <w:jc w:val="center"/>
        <w:rPr>
          <w:b/>
          <w:i/>
          <w:sz w:val="28"/>
          <w:szCs w:val="28"/>
          <w:u w:val="single"/>
        </w:rPr>
      </w:pPr>
    </w:p>
    <w:p w:rsidR="00A80D47" w:rsidRPr="00914182" w:rsidRDefault="00A80D47" w:rsidP="00B31E93">
      <w:pPr>
        <w:jc w:val="center"/>
        <w:rPr>
          <w:b/>
          <w:i/>
          <w:color w:val="C0504D" w:themeColor="accent2"/>
          <w:sz w:val="28"/>
          <w:szCs w:val="28"/>
          <w:u w:val="single"/>
        </w:rPr>
      </w:pPr>
      <w:r w:rsidRPr="00914182">
        <w:rPr>
          <w:b/>
          <w:i/>
          <w:color w:val="C0504D" w:themeColor="accent2"/>
          <w:sz w:val="28"/>
          <w:szCs w:val="28"/>
          <w:u w:val="single"/>
        </w:rPr>
        <w:t>PRESUPUESTO FACULTAD EDUCACIÓN</w:t>
      </w:r>
      <w:r w:rsidR="00B31E93" w:rsidRPr="00914182">
        <w:rPr>
          <w:b/>
          <w:i/>
          <w:color w:val="C0504D" w:themeColor="accent2"/>
          <w:sz w:val="28"/>
          <w:szCs w:val="28"/>
          <w:u w:val="single"/>
        </w:rPr>
        <w:t>/</w:t>
      </w:r>
      <w:r w:rsidR="00BF64E5">
        <w:rPr>
          <w:b/>
          <w:i/>
          <w:color w:val="C0504D" w:themeColor="accent2"/>
          <w:sz w:val="28"/>
          <w:szCs w:val="28"/>
          <w:u w:val="single"/>
        </w:rPr>
        <w:t>2017</w:t>
      </w:r>
    </w:p>
    <w:p w:rsidR="00A80D47" w:rsidRPr="00431DF0" w:rsidRDefault="00A80D47" w:rsidP="00A80D47">
      <w:pPr>
        <w:rPr>
          <w:b/>
          <w:i/>
          <w:sz w:val="24"/>
          <w:szCs w:val="24"/>
        </w:rPr>
      </w:pPr>
    </w:p>
    <w:p w:rsidR="00A80D47" w:rsidRPr="00914182" w:rsidRDefault="00A80D47" w:rsidP="00A80D47">
      <w:pPr>
        <w:pStyle w:val="Prrafodelista"/>
        <w:numPr>
          <w:ilvl w:val="0"/>
          <w:numId w:val="1"/>
        </w:numPr>
        <w:rPr>
          <w:b/>
          <w:color w:val="C0504D" w:themeColor="accent2"/>
          <w:u w:val="single"/>
        </w:rPr>
      </w:pPr>
      <w:r w:rsidRPr="00914182">
        <w:rPr>
          <w:b/>
          <w:color w:val="C0504D" w:themeColor="accent2"/>
          <w:u w:val="single"/>
        </w:rPr>
        <w:t>PRESUPUESTO DE INGRESOS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1598"/>
      </w:tblGrid>
      <w:tr w:rsidR="00A80D47" w:rsidTr="004D4B53">
        <w:tc>
          <w:tcPr>
            <w:tcW w:w="4322" w:type="dxa"/>
          </w:tcPr>
          <w:p w:rsidR="00A80D47" w:rsidRDefault="00370F66" w:rsidP="004D4B53">
            <w:r>
              <w:t>REPARTO PRESUPUESTO 2017</w:t>
            </w:r>
          </w:p>
        </w:tc>
        <w:tc>
          <w:tcPr>
            <w:tcW w:w="1598" w:type="dxa"/>
          </w:tcPr>
          <w:p w:rsidR="00A80D47" w:rsidRDefault="00370F66" w:rsidP="004D4B53">
            <w:pPr>
              <w:jc w:val="right"/>
            </w:pPr>
            <w:r>
              <w:t>176.691,93</w:t>
            </w:r>
            <w:r w:rsidR="00240761">
              <w:t>€</w:t>
            </w:r>
          </w:p>
        </w:tc>
      </w:tr>
      <w:tr w:rsidR="00A80D47" w:rsidTr="004D4B53">
        <w:tc>
          <w:tcPr>
            <w:tcW w:w="4322" w:type="dxa"/>
          </w:tcPr>
          <w:p w:rsidR="00A80D47" w:rsidRDefault="00A80D47" w:rsidP="001225C2">
            <w:r>
              <w:t xml:space="preserve">CAP. VI </w:t>
            </w:r>
            <w:r w:rsidR="001225C2">
              <w:t xml:space="preserve">(Inversiones. Reales / </w:t>
            </w:r>
            <w:r>
              <w:t>C</w:t>
            </w:r>
            <w:r w:rsidR="00240761">
              <w:t>onc. 640</w:t>
            </w:r>
            <w:r w:rsidR="00370F66">
              <w:t>+621</w:t>
            </w:r>
            <w:r w:rsidR="00240761">
              <w:t>)</w:t>
            </w:r>
          </w:p>
        </w:tc>
        <w:tc>
          <w:tcPr>
            <w:tcW w:w="1598" w:type="dxa"/>
          </w:tcPr>
          <w:p w:rsidR="00A80D47" w:rsidRDefault="00370F66" w:rsidP="004D4B53">
            <w:pPr>
              <w:jc w:val="right"/>
            </w:pPr>
            <w:r>
              <w:t>9.273,24</w:t>
            </w:r>
            <w:r w:rsidR="00240761">
              <w:t>€</w:t>
            </w:r>
          </w:p>
        </w:tc>
      </w:tr>
      <w:tr w:rsidR="00684A29" w:rsidRPr="00684A29" w:rsidTr="004D4B53">
        <w:tc>
          <w:tcPr>
            <w:tcW w:w="4322" w:type="dxa"/>
          </w:tcPr>
          <w:p w:rsidR="00A80D47" w:rsidRDefault="00A80D47" w:rsidP="00370F66">
            <w:pPr>
              <w:jc w:val="right"/>
            </w:pPr>
            <w:r>
              <w:t xml:space="preserve">                                        </w:t>
            </w:r>
            <w:r w:rsidR="00370F66">
              <w:t>CRÉDITO TOTAL</w:t>
            </w:r>
          </w:p>
        </w:tc>
        <w:tc>
          <w:tcPr>
            <w:tcW w:w="1598" w:type="dxa"/>
          </w:tcPr>
          <w:p w:rsidR="00A80D47" w:rsidRPr="00684A29" w:rsidRDefault="00240761" w:rsidP="00370F66">
            <w:pPr>
              <w:jc w:val="right"/>
              <w:rPr>
                <w:i/>
                <w:color w:val="FF0000"/>
              </w:rPr>
            </w:pPr>
            <w:r w:rsidRPr="00684A29">
              <w:rPr>
                <w:b/>
                <w:i/>
                <w:color w:val="FF0000"/>
              </w:rPr>
              <w:t>18</w:t>
            </w:r>
            <w:r w:rsidR="00370F66">
              <w:rPr>
                <w:b/>
                <w:i/>
                <w:color w:val="FF0000"/>
              </w:rPr>
              <w:t>5.965,17</w:t>
            </w:r>
            <w:r w:rsidRPr="00684A29">
              <w:rPr>
                <w:b/>
                <w:i/>
                <w:color w:val="FF0000"/>
              </w:rPr>
              <w:t>€</w:t>
            </w:r>
          </w:p>
        </w:tc>
      </w:tr>
    </w:tbl>
    <w:p w:rsidR="00A80D47" w:rsidRDefault="00A80D47" w:rsidP="00A80D47"/>
    <w:p w:rsidR="00A80D47" w:rsidRPr="00914182" w:rsidRDefault="00A80D47" w:rsidP="00A80D47">
      <w:pPr>
        <w:rPr>
          <w:b/>
          <w:color w:val="C0504D" w:themeColor="accent2"/>
          <w:u w:val="single"/>
        </w:rPr>
      </w:pPr>
      <w:r w:rsidRPr="00914182">
        <w:rPr>
          <w:color w:val="C0504D" w:themeColor="accent2"/>
        </w:rPr>
        <w:t xml:space="preserve">       </w:t>
      </w:r>
      <w:r w:rsidRPr="00914182">
        <w:rPr>
          <w:b/>
          <w:color w:val="C0504D" w:themeColor="accent2"/>
        </w:rPr>
        <w:t xml:space="preserve">2) </w:t>
      </w:r>
      <w:r w:rsidRPr="00914182">
        <w:rPr>
          <w:b/>
          <w:color w:val="C0504D" w:themeColor="accent2"/>
          <w:u w:val="single"/>
        </w:rPr>
        <w:t>PRESUPUESTO DE GASTOS</w:t>
      </w:r>
    </w:p>
    <w:p w:rsidR="00A80D47" w:rsidRPr="00914182" w:rsidRDefault="00A80D47" w:rsidP="00A80D47">
      <w:pPr>
        <w:ind w:firstLine="708"/>
        <w:rPr>
          <w:color w:val="C0504D" w:themeColor="accent2"/>
          <w:sz w:val="20"/>
          <w:szCs w:val="20"/>
        </w:rPr>
      </w:pPr>
      <w:r w:rsidRPr="00914182">
        <w:rPr>
          <w:i/>
          <w:color w:val="C0504D" w:themeColor="accent2"/>
          <w:sz w:val="20"/>
          <w:szCs w:val="20"/>
        </w:rPr>
        <w:t>A)</w:t>
      </w:r>
      <w:r w:rsidRPr="00914182">
        <w:rPr>
          <w:color w:val="C0504D" w:themeColor="accent2"/>
          <w:sz w:val="20"/>
          <w:szCs w:val="20"/>
        </w:rPr>
        <w:t xml:space="preserve"> </w:t>
      </w:r>
      <w:r w:rsidRPr="00914182">
        <w:rPr>
          <w:i/>
          <w:color w:val="C0504D" w:themeColor="accent2"/>
          <w:sz w:val="20"/>
          <w:szCs w:val="20"/>
        </w:rPr>
        <w:t>PRESUPUEST</w:t>
      </w:r>
      <w:r w:rsidR="008254EF">
        <w:rPr>
          <w:i/>
          <w:color w:val="C0504D" w:themeColor="accent2"/>
          <w:sz w:val="20"/>
          <w:szCs w:val="20"/>
        </w:rPr>
        <w:t xml:space="preserve">O ORDINARIO FACULTAD EDUCACIÓN </w:t>
      </w:r>
      <w:r w:rsidRPr="00914182">
        <w:rPr>
          <w:i/>
          <w:color w:val="C0504D" w:themeColor="accent2"/>
          <w:sz w:val="20"/>
          <w:szCs w:val="20"/>
        </w:rPr>
        <w:t>(CAP. II)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03"/>
        <w:gridCol w:w="1336"/>
      </w:tblGrid>
      <w:tr w:rsidR="00A80D47" w:rsidTr="00240761">
        <w:tc>
          <w:tcPr>
            <w:tcW w:w="4503" w:type="dxa"/>
          </w:tcPr>
          <w:p w:rsidR="00A80D47" w:rsidRPr="00276CFD" w:rsidRDefault="00A80D47" w:rsidP="004D4B53">
            <w:pPr>
              <w:jc w:val="center"/>
              <w:rPr>
                <w:b/>
              </w:rPr>
            </w:pPr>
            <w:r w:rsidRPr="00276CFD">
              <w:rPr>
                <w:b/>
              </w:rPr>
              <w:t>CONCEPTO</w:t>
            </w:r>
          </w:p>
        </w:tc>
        <w:tc>
          <w:tcPr>
            <w:tcW w:w="1336" w:type="dxa"/>
          </w:tcPr>
          <w:p w:rsidR="00A80D47" w:rsidRPr="00276CFD" w:rsidRDefault="00A80D47" w:rsidP="004D4B53">
            <w:pPr>
              <w:jc w:val="right"/>
              <w:rPr>
                <w:b/>
              </w:rPr>
            </w:pPr>
            <w:r w:rsidRPr="00276CFD">
              <w:rPr>
                <w:b/>
              </w:rPr>
              <w:t>IMPORTE</w:t>
            </w:r>
          </w:p>
        </w:tc>
      </w:tr>
      <w:tr w:rsidR="00A80D47" w:rsidTr="00240761">
        <w:tc>
          <w:tcPr>
            <w:tcW w:w="4503" w:type="dxa"/>
          </w:tcPr>
          <w:p w:rsidR="00A80D47" w:rsidRDefault="00A80D47" w:rsidP="004D4B53">
            <w:r>
              <w:t>212      – Repar. edificios y otras construcciones</w:t>
            </w:r>
          </w:p>
        </w:tc>
        <w:tc>
          <w:tcPr>
            <w:tcW w:w="1336" w:type="dxa"/>
          </w:tcPr>
          <w:p w:rsidR="00A80D47" w:rsidRDefault="00394B9C" w:rsidP="004D4B53">
            <w:pPr>
              <w:jc w:val="right"/>
            </w:pPr>
            <w:r>
              <w:t>12.715,87€</w:t>
            </w:r>
          </w:p>
        </w:tc>
      </w:tr>
      <w:tr w:rsidR="00A80D47" w:rsidTr="00240761">
        <w:tc>
          <w:tcPr>
            <w:tcW w:w="4503" w:type="dxa"/>
          </w:tcPr>
          <w:p w:rsidR="00A80D47" w:rsidRDefault="00A80D47" w:rsidP="004D4B53">
            <w:r>
              <w:t>215      – Repar. Mobiliario y enseres</w:t>
            </w:r>
          </w:p>
        </w:tc>
        <w:tc>
          <w:tcPr>
            <w:tcW w:w="1336" w:type="dxa"/>
          </w:tcPr>
          <w:p w:rsidR="00A80D47" w:rsidRDefault="00394B9C" w:rsidP="004D4B53">
            <w:pPr>
              <w:jc w:val="right"/>
            </w:pPr>
            <w:r>
              <w:t>238,41€</w:t>
            </w:r>
          </w:p>
        </w:tc>
      </w:tr>
      <w:tr w:rsidR="00A80D47" w:rsidTr="00240761">
        <w:tc>
          <w:tcPr>
            <w:tcW w:w="4503" w:type="dxa"/>
          </w:tcPr>
          <w:p w:rsidR="00A80D47" w:rsidRDefault="00A80D47" w:rsidP="004D4B53">
            <w:r>
              <w:t xml:space="preserve">216      – Repar. Equipam. proc. </w:t>
            </w:r>
            <w:r w:rsidR="00240761">
              <w:t>I</w:t>
            </w:r>
            <w:r>
              <w:t>nformación</w:t>
            </w:r>
          </w:p>
        </w:tc>
        <w:tc>
          <w:tcPr>
            <w:tcW w:w="1336" w:type="dxa"/>
          </w:tcPr>
          <w:p w:rsidR="00A80D47" w:rsidRDefault="00394B9C" w:rsidP="004D4B53">
            <w:pPr>
              <w:jc w:val="right"/>
            </w:pPr>
            <w:r>
              <w:t>205,39€</w:t>
            </w:r>
          </w:p>
        </w:tc>
      </w:tr>
      <w:tr w:rsidR="00A80D47" w:rsidTr="00240761">
        <w:tc>
          <w:tcPr>
            <w:tcW w:w="4503" w:type="dxa"/>
          </w:tcPr>
          <w:p w:rsidR="00A80D47" w:rsidRDefault="00A80D47" w:rsidP="004D4B53">
            <w:r>
              <w:t>220.00 – Mat. oficina no inventariable</w:t>
            </w:r>
          </w:p>
        </w:tc>
        <w:tc>
          <w:tcPr>
            <w:tcW w:w="1336" w:type="dxa"/>
          </w:tcPr>
          <w:p w:rsidR="00A80D47" w:rsidRDefault="00394B9C" w:rsidP="002E4AF3">
            <w:pPr>
              <w:jc w:val="right"/>
            </w:pPr>
            <w:r>
              <w:t>5.349,47€</w:t>
            </w:r>
          </w:p>
        </w:tc>
      </w:tr>
      <w:tr w:rsidR="00A80D47" w:rsidTr="00240761">
        <w:tc>
          <w:tcPr>
            <w:tcW w:w="4503" w:type="dxa"/>
          </w:tcPr>
          <w:p w:rsidR="00A80D47" w:rsidRDefault="00A80D47" w:rsidP="004D4B53">
            <w:r>
              <w:t>220.02 – Mat. informático (no inventariable)</w:t>
            </w:r>
          </w:p>
        </w:tc>
        <w:tc>
          <w:tcPr>
            <w:tcW w:w="1336" w:type="dxa"/>
          </w:tcPr>
          <w:p w:rsidR="00A80D47" w:rsidRDefault="00394B9C" w:rsidP="004D4B53">
            <w:pPr>
              <w:jc w:val="right"/>
            </w:pPr>
            <w:r>
              <w:t>3.049,93€</w:t>
            </w:r>
          </w:p>
        </w:tc>
      </w:tr>
      <w:tr w:rsidR="00A80D47" w:rsidTr="00240761">
        <w:tc>
          <w:tcPr>
            <w:tcW w:w="4503" w:type="dxa"/>
          </w:tcPr>
          <w:p w:rsidR="00A80D47" w:rsidRDefault="00A80D47" w:rsidP="004D4B53">
            <w:r>
              <w:t>221.00 – Energía eléctrica</w:t>
            </w:r>
          </w:p>
        </w:tc>
        <w:tc>
          <w:tcPr>
            <w:tcW w:w="1336" w:type="dxa"/>
          </w:tcPr>
          <w:p w:rsidR="00A80D47" w:rsidRDefault="00394B9C" w:rsidP="004D4B53">
            <w:pPr>
              <w:jc w:val="right"/>
            </w:pPr>
            <w:r>
              <w:t>35.692,64€</w:t>
            </w:r>
          </w:p>
        </w:tc>
      </w:tr>
      <w:tr w:rsidR="00A80D47" w:rsidTr="00240761">
        <w:tc>
          <w:tcPr>
            <w:tcW w:w="4503" w:type="dxa"/>
          </w:tcPr>
          <w:p w:rsidR="00A80D47" w:rsidRDefault="00A80D47" w:rsidP="004D4B53">
            <w:r>
              <w:t>221.02 – Gas</w:t>
            </w:r>
          </w:p>
        </w:tc>
        <w:tc>
          <w:tcPr>
            <w:tcW w:w="1336" w:type="dxa"/>
          </w:tcPr>
          <w:p w:rsidR="00A80D47" w:rsidRDefault="00394B9C" w:rsidP="004D4B53">
            <w:pPr>
              <w:jc w:val="right"/>
            </w:pPr>
            <w:r>
              <w:t>26.313,30€</w:t>
            </w:r>
          </w:p>
        </w:tc>
      </w:tr>
      <w:tr w:rsidR="00A80D47" w:rsidTr="00240761">
        <w:tc>
          <w:tcPr>
            <w:tcW w:w="4503" w:type="dxa"/>
          </w:tcPr>
          <w:p w:rsidR="00A80D47" w:rsidRDefault="00A80D47" w:rsidP="004D4B53">
            <w:r>
              <w:t>221.09  - Otros suministros</w:t>
            </w:r>
          </w:p>
        </w:tc>
        <w:tc>
          <w:tcPr>
            <w:tcW w:w="1336" w:type="dxa"/>
          </w:tcPr>
          <w:p w:rsidR="00A80D47" w:rsidRDefault="00394B9C" w:rsidP="004D4B53">
            <w:pPr>
              <w:jc w:val="right"/>
            </w:pPr>
            <w:r>
              <w:t>18.242,90€</w:t>
            </w:r>
          </w:p>
        </w:tc>
      </w:tr>
      <w:tr w:rsidR="00A80D47" w:rsidTr="00240761">
        <w:tc>
          <w:tcPr>
            <w:tcW w:w="4503" w:type="dxa"/>
          </w:tcPr>
          <w:p w:rsidR="00A80D47" w:rsidRDefault="00A80D47" w:rsidP="004D4B53">
            <w:r>
              <w:t>222.00 – Comunicaciones telefónicas</w:t>
            </w:r>
          </w:p>
        </w:tc>
        <w:tc>
          <w:tcPr>
            <w:tcW w:w="1336" w:type="dxa"/>
          </w:tcPr>
          <w:p w:rsidR="00A80D47" w:rsidRDefault="00394B9C" w:rsidP="004D4B53">
            <w:pPr>
              <w:jc w:val="right"/>
            </w:pPr>
            <w:r>
              <w:t>12.626,23€</w:t>
            </w:r>
          </w:p>
        </w:tc>
      </w:tr>
      <w:tr w:rsidR="00A80D47" w:rsidTr="00240761">
        <w:tc>
          <w:tcPr>
            <w:tcW w:w="4503" w:type="dxa"/>
          </w:tcPr>
          <w:p w:rsidR="00A80D47" w:rsidRDefault="00A80D47" w:rsidP="004D4B53">
            <w:r>
              <w:t>222.01 – Comunicaciones postales</w:t>
            </w:r>
          </w:p>
        </w:tc>
        <w:tc>
          <w:tcPr>
            <w:tcW w:w="1336" w:type="dxa"/>
          </w:tcPr>
          <w:p w:rsidR="00A80D47" w:rsidRDefault="00394B9C" w:rsidP="004D4B53">
            <w:pPr>
              <w:jc w:val="right"/>
            </w:pPr>
            <w:r>
              <w:t>1.742,52€</w:t>
            </w:r>
          </w:p>
        </w:tc>
      </w:tr>
      <w:tr w:rsidR="00A80D47" w:rsidTr="00240761">
        <w:tc>
          <w:tcPr>
            <w:tcW w:w="4503" w:type="dxa"/>
          </w:tcPr>
          <w:p w:rsidR="00A80D47" w:rsidRDefault="00A80D47" w:rsidP="004D4B53">
            <w:r>
              <w:t>226.01 – Atenciones protocolarias y represent.</w:t>
            </w:r>
          </w:p>
        </w:tc>
        <w:tc>
          <w:tcPr>
            <w:tcW w:w="1336" w:type="dxa"/>
          </w:tcPr>
          <w:p w:rsidR="00A80D47" w:rsidRDefault="00394B9C" w:rsidP="004D4B53">
            <w:pPr>
              <w:jc w:val="right"/>
            </w:pPr>
            <w:r>
              <w:t>1.235,60€</w:t>
            </w:r>
          </w:p>
        </w:tc>
      </w:tr>
      <w:tr w:rsidR="00A80D47" w:rsidTr="00240761">
        <w:tc>
          <w:tcPr>
            <w:tcW w:w="4503" w:type="dxa"/>
          </w:tcPr>
          <w:p w:rsidR="00A80D47" w:rsidRDefault="00A80D47" w:rsidP="004D4B53">
            <w:r>
              <w:t>226.06 – Reuniones y conferencias</w:t>
            </w:r>
          </w:p>
        </w:tc>
        <w:tc>
          <w:tcPr>
            <w:tcW w:w="1336" w:type="dxa"/>
          </w:tcPr>
          <w:p w:rsidR="00A80D47" w:rsidRDefault="00394B9C" w:rsidP="004D4B53">
            <w:pPr>
              <w:jc w:val="right"/>
            </w:pPr>
            <w:r>
              <w:t>1.844,48€</w:t>
            </w:r>
          </w:p>
        </w:tc>
      </w:tr>
      <w:tr w:rsidR="00394B9C" w:rsidTr="00240761">
        <w:tc>
          <w:tcPr>
            <w:tcW w:w="4503" w:type="dxa"/>
          </w:tcPr>
          <w:p w:rsidR="00394B9C" w:rsidRDefault="00394B9C" w:rsidP="004D4B53">
            <w:r>
              <w:t>226.09 –Otros</w:t>
            </w:r>
          </w:p>
        </w:tc>
        <w:tc>
          <w:tcPr>
            <w:tcW w:w="1336" w:type="dxa"/>
          </w:tcPr>
          <w:p w:rsidR="00394B9C" w:rsidRDefault="00394B9C" w:rsidP="004D4B53">
            <w:pPr>
              <w:jc w:val="right"/>
            </w:pPr>
            <w:r>
              <w:t>238,22€</w:t>
            </w:r>
          </w:p>
        </w:tc>
      </w:tr>
      <w:tr w:rsidR="00A80D47" w:rsidTr="00240761">
        <w:tc>
          <w:tcPr>
            <w:tcW w:w="4503" w:type="dxa"/>
          </w:tcPr>
          <w:p w:rsidR="00A80D47" w:rsidRDefault="00A80D47" w:rsidP="004D4B53">
            <w:r>
              <w:t>227.05 – Procesos electorales</w:t>
            </w:r>
          </w:p>
        </w:tc>
        <w:tc>
          <w:tcPr>
            <w:tcW w:w="1336" w:type="dxa"/>
          </w:tcPr>
          <w:p w:rsidR="00A80D47" w:rsidRDefault="00394B9C" w:rsidP="004D4B53">
            <w:pPr>
              <w:jc w:val="right"/>
            </w:pPr>
            <w:r>
              <w:t>830,00€</w:t>
            </w:r>
          </w:p>
        </w:tc>
      </w:tr>
      <w:tr w:rsidR="008773E5" w:rsidTr="00240761">
        <w:tc>
          <w:tcPr>
            <w:tcW w:w="4503" w:type="dxa"/>
          </w:tcPr>
          <w:p w:rsidR="008773E5" w:rsidRDefault="00394B9C" w:rsidP="00B968E9">
            <w:r>
              <w:t>227.06 –Estudios y Trabajos Técnicos</w:t>
            </w:r>
          </w:p>
        </w:tc>
        <w:tc>
          <w:tcPr>
            <w:tcW w:w="1336" w:type="dxa"/>
          </w:tcPr>
          <w:p w:rsidR="008773E5" w:rsidRDefault="00394B9C" w:rsidP="004D4B53">
            <w:pPr>
              <w:jc w:val="right"/>
            </w:pPr>
            <w:r>
              <w:t>295,32€</w:t>
            </w:r>
          </w:p>
        </w:tc>
      </w:tr>
      <w:tr w:rsidR="00A80D47" w:rsidTr="00240761">
        <w:tc>
          <w:tcPr>
            <w:tcW w:w="4503" w:type="dxa"/>
          </w:tcPr>
          <w:p w:rsidR="00A80D47" w:rsidRDefault="00A80D47" w:rsidP="004D4B53">
            <w:r>
              <w:t>230      – Dietas</w:t>
            </w:r>
          </w:p>
        </w:tc>
        <w:tc>
          <w:tcPr>
            <w:tcW w:w="1336" w:type="dxa"/>
          </w:tcPr>
          <w:p w:rsidR="00A80D47" w:rsidRDefault="00394B9C" w:rsidP="004D4B53">
            <w:pPr>
              <w:jc w:val="right"/>
            </w:pPr>
            <w:r>
              <w:t>307,85€</w:t>
            </w:r>
          </w:p>
        </w:tc>
      </w:tr>
      <w:tr w:rsidR="00A80D47" w:rsidTr="00240761">
        <w:tc>
          <w:tcPr>
            <w:tcW w:w="4503" w:type="dxa"/>
          </w:tcPr>
          <w:p w:rsidR="00A80D47" w:rsidRDefault="00A80D47" w:rsidP="004D4B53">
            <w:r>
              <w:t>231      – Locomoción</w:t>
            </w:r>
          </w:p>
        </w:tc>
        <w:tc>
          <w:tcPr>
            <w:tcW w:w="1336" w:type="dxa"/>
          </w:tcPr>
          <w:p w:rsidR="00A80D47" w:rsidRDefault="00394B9C" w:rsidP="004D4B53">
            <w:pPr>
              <w:jc w:val="right"/>
            </w:pPr>
            <w:r>
              <w:t>724,54€</w:t>
            </w:r>
          </w:p>
        </w:tc>
      </w:tr>
      <w:tr w:rsidR="00A80D47" w:rsidTr="00240761">
        <w:tc>
          <w:tcPr>
            <w:tcW w:w="4503" w:type="dxa"/>
          </w:tcPr>
          <w:p w:rsidR="00A80D47" w:rsidRDefault="00A80D47" w:rsidP="004D4B53">
            <w:r>
              <w:t>620.04 – Mobiliario y enseres (inventariable)</w:t>
            </w:r>
          </w:p>
        </w:tc>
        <w:tc>
          <w:tcPr>
            <w:tcW w:w="1336" w:type="dxa"/>
          </w:tcPr>
          <w:p w:rsidR="00A80D47" w:rsidRDefault="00394B9C" w:rsidP="004D4B53">
            <w:pPr>
              <w:jc w:val="right"/>
            </w:pPr>
            <w:r>
              <w:t>11.222,10€</w:t>
            </w:r>
          </w:p>
        </w:tc>
      </w:tr>
      <w:tr w:rsidR="00A80D47" w:rsidTr="00240761">
        <w:tc>
          <w:tcPr>
            <w:tcW w:w="4503" w:type="dxa"/>
          </w:tcPr>
          <w:p w:rsidR="00A80D47" w:rsidRDefault="00A80D47" w:rsidP="004D4B53">
            <w:r>
              <w:t>620.05 – Equip. proc. Información (inventar.)</w:t>
            </w:r>
          </w:p>
        </w:tc>
        <w:tc>
          <w:tcPr>
            <w:tcW w:w="1336" w:type="dxa"/>
          </w:tcPr>
          <w:p w:rsidR="00A80D47" w:rsidRDefault="00394B9C" w:rsidP="004D4B53">
            <w:pPr>
              <w:jc w:val="right"/>
            </w:pPr>
            <w:r>
              <w:t>40.831,41€</w:t>
            </w:r>
          </w:p>
        </w:tc>
      </w:tr>
      <w:tr w:rsidR="001322CA" w:rsidRPr="00651216" w:rsidTr="00240761">
        <w:tc>
          <w:tcPr>
            <w:tcW w:w="4503" w:type="dxa"/>
          </w:tcPr>
          <w:p w:rsidR="001322CA" w:rsidRPr="001322CA" w:rsidRDefault="001322CA" w:rsidP="001322CA">
            <w:r w:rsidRPr="001322CA">
              <w:t>620.08 –Aplicaciones Informáticas</w:t>
            </w:r>
          </w:p>
        </w:tc>
        <w:tc>
          <w:tcPr>
            <w:tcW w:w="1336" w:type="dxa"/>
          </w:tcPr>
          <w:p w:rsidR="001322CA" w:rsidRPr="001322CA" w:rsidRDefault="001322CA" w:rsidP="004D4B53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2.940,83€</w:t>
            </w:r>
          </w:p>
        </w:tc>
      </w:tr>
      <w:tr w:rsidR="00A80D47" w:rsidRPr="00651216" w:rsidTr="00240761">
        <w:tc>
          <w:tcPr>
            <w:tcW w:w="4503" w:type="dxa"/>
          </w:tcPr>
          <w:p w:rsidR="00A80D47" w:rsidRPr="00D07775" w:rsidRDefault="00A80D47" w:rsidP="001322CA">
            <w:pPr>
              <w:jc w:val="right"/>
              <w:rPr>
                <w:b/>
                <w:i/>
                <w:color w:val="00B050"/>
              </w:rPr>
            </w:pPr>
            <w:r w:rsidRPr="00D07775">
              <w:rPr>
                <w:b/>
                <w:i/>
                <w:color w:val="00B050"/>
              </w:rPr>
              <w:t xml:space="preserve">                                   </w:t>
            </w:r>
            <w:r w:rsidR="001322CA" w:rsidRPr="00D07775">
              <w:rPr>
                <w:b/>
                <w:i/>
                <w:color w:val="00B050"/>
              </w:rPr>
              <w:t xml:space="preserve">                          TOTAL</w:t>
            </w:r>
          </w:p>
        </w:tc>
        <w:tc>
          <w:tcPr>
            <w:tcW w:w="1336" w:type="dxa"/>
          </w:tcPr>
          <w:p w:rsidR="00A80D47" w:rsidRPr="00D07775" w:rsidRDefault="00D07775" w:rsidP="00D07775">
            <w:pPr>
              <w:jc w:val="right"/>
              <w:rPr>
                <w:b/>
                <w:i/>
                <w:color w:val="00B050"/>
                <w:lang w:val="en-US"/>
              </w:rPr>
            </w:pPr>
            <w:r>
              <w:rPr>
                <w:b/>
                <w:i/>
                <w:color w:val="00B050"/>
                <w:lang w:val="en-US"/>
              </w:rPr>
              <w:t>176.647</w:t>
            </w:r>
            <w:r w:rsidR="001322CA" w:rsidRPr="00D07775">
              <w:rPr>
                <w:b/>
                <w:i/>
                <w:color w:val="00B050"/>
                <w:lang w:val="en-US"/>
              </w:rPr>
              <w:t>,</w:t>
            </w:r>
            <w:r>
              <w:rPr>
                <w:b/>
                <w:i/>
                <w:color w:val="00B050"/>
                <w:lang w:val="en-US"/>
              </w:rPr>
              <w:t>01</w:t>
            </w:r>
            <w:r w:rsidR="001322CA" w:rsidRPr="00D07775">
              <w:rPr>
                <w:b/>
                <w:i/>
                <w:color w:val="00B050"/>
                <w:lang w:val="en-US"/>
              </w:rPr>
              <w:t>€</w:t>
            </w:r>
          </w:p>
        </w:tc>
      </w:tr>
    </w:tbl>
    <w:p w:rsidR="00DF0E02" w:rsidRDefault="00DF0E02" w:rsidP="00A80D47">
      <w:pPr>
        <w:rPr>
          <w:i/>
        </w:rPr>
      </w:pPr>
    </w:p>
    <w:p w:rsidR="00684A29" w:rsidRDefault="00684A29" w:rsidP="00A80D47">
      <w:pPr>
        <w:rPr>
          <w:i/>
        </w:rPr>
      </w:pPr>
      <w:r>
        <w:rPr>
          <w:i/>
        </w:rPr>
        <w:t xml:space="preserve">  </w:t>
      </w:r>
    </w:p>
    <w:p w:rsidR="006C0EA6" w:rsidRDefault="006C0EA6" w:rsidP="00A80D47">
      <w:pPr>
        <w:rPr>
          <w:i/>
        </w:rPr>
      </w:pPr>
    </w:p>
    <w:p w:rsidR="002E45BF" w:rsidRPr="002E66FB" w:rsidRDefault="002E45BF" w:rsidP="00A80D47">
      <w:pPr>
        <w:rPr>
          <w:i/>
        </w:rPr>
      </w:pPr>
    </w:p>
    <w:p w:rsidR="00A80D47" w:rsidRDefault="00A80D47" w:rsidP="00A80D47">
      <w:pPr>
        <w:ind w:firstLine="708"/>
        <w:rPr>
          <w:i/>
        </w:rPr>
      </w:pPr>
    </w:p>
    <w:p w:rsidR="00CC169E" w:rsidRDefault="00CC169E" w:rsidP="00A80D47">
      <w:pPr>
        <w:ind w:firstLine="708"/>
        <w:rPr>
          <w:i/>
        </w:rPr>
      </w:pPr>
    </w:p>
    <w:p w:rsidR="00A80D47" w:rsidRPr="00132964" w:rsidRDefault="00A80D47" w:rsidP="00A80D47">
      <w:pPr>
        <w:ind w:firstLine="708"/>
        <w:rPr>
          <w:i/>
        </w:rPr>
      </w:pPr>
      <w:r w:rsidRPr="00914182">
        <w:rPr>
          <w:i/>
          <w:color w:val="C0504D" w:themeColor="accent2"/>
        </w:rPr>
        <w:lastRenderedPageBreak/>
        <w:t>B) PRESUPUESTO INVERSIONES REALES (CAP VI</w:t>
      </w:r>
      <w:r w:rsidR="00D74898" w:rsidRPr="00914182">
        <w:rPr>
          <w:i/>
          <w:color w:val="C0504D" w:themeColor="accent2"/>
        </w:rPr>
        <w:t>/640</w:t>
      </w:r>
      <w:r w:rsidRPr="00914182">
        <w:rPr>
          <w:i/>
          <w:color w:val="C0504D" w:themeColor="accent2"/>
        </w:rPr>
        <w:t xml:space="preserve">) </w:t>
      </w:r>
      <w:r w:rsidRPr="00132964">
        <w:rPr>
          <w:i/>
        </w:rPr>
        <w:tab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1598"/>
      </w:tblGrid>
      <w:tr w:rsidR="00A80D47" w:rsidTr="004D4B53">
        <w:tc>
          <w:tcPr>
            <w:tcW w:w="4322" w:type="dxa"/>
          </w:tcPr>
          <w:p w:rsidR="00A80D47" w:rsidRPr="00132964" w:rsidRDefault="00A80D47" w:rsidP="004D4B53">
            <w:pPr>
              <w:jc w:val="center"/>
              <w:rPr>
                <w:b/>
              </w:rPr>
            </w:pPr>
            <w:r w:rsidRPr="00132964">
              <w:rPr>
                <w:b/>
              </w:rPr>
              <w:t>CONCEPTO</w:t>
            </w:r>
          </w:p>
        </w:tc>
        <w:tc>
          <w:tcPr>
            <w:tcW w:w="1598" w:type="dxa"/>
          </w:tcPr>
          <w:p w:rsidR="00A80D47" w:rsidRPr="00132964" w:rsidRDefault="00A80D47" w:rsidP="004D4B53">
            <w:pPr>
              <w:jc w:val="right"/>
              <w:rPr>
                <w:b/>
              </w:rPr>
            </w:pPr>
            <w:r w:rsidRPr="00132964">
              <w:rPr>
                <w:b/>
              </w:rPr>
              <w:t>IMPORTE</w:t>
            </w:r>
          </w:p>
        </w:tc>
      </w:tr>
      <w:tr w:rsidR="00A80D47" w:rsidTr="004D4B53">
        <w:tc>
          <w:tcPr>
            <w:tcW w:w="4322" w:type="dxa"/>
          </w:tcPr>
          <w:p w:rsidR="00A80D47" w:rsidRDefault="002A511D" w:rsidP="00D92597">
            <w:r>
              <w:t>INVERSIONES REALES (CAP. VI/640)</w:t>
            </w:r>
          </w:p>
        </w:tc>
        <w:tc>
          <w:tcPr>
            <w:tcW w:w="1598" w:type="dxa"/>
          </w:tcPr>
          <w:p w:rsidR="00A80D47" w:rsidRDefault="002A511D" w:rsidP="004D4B53">
            <w:pPr>
              <w:jc w:val="right"/>
            </w:pPr>
            <w:r>
              <w:t>9.261,09€</w:t>
            </w:r>
          </w:p>
        </w:tc>
      </w:tr>
      <w:tr w:rsidR="00D07775" w:rsidTr="004D4B53">
        <w:tc>
          <w:tcPr>
            <w:tcW w:w="4322" w:type="dxa"/>
          </w:tcPr>
          <w:p w:rsidR="00D07775" w:rsidRDefault="00D07775" w:rsidP="00D92597">
            <w:r>
              <w:t>INVERSIONES REALES (621)</w:t>
            </w:r>
          </w:p>
        </w:tc>
        <w:tc>
          <w:tcPr>
            <w:tcW w:w="1598" w:type="dxa"/>
          </w:tcPr>
          <w:p w:rsidR="00D07775" w:rsidRDefault="00D07775" w:rsidP="004D4B53">
            <w:pPr>
              <w:jc w:val="right"/>
            </w:pPr>
            <w:r>
              <w:t>12,15€</w:t>
            </w:r>
          </w:p>
        </w:tc>
      </w:tr>
      <w:tr w:rsidR="005D6A1E" w:rsidRPr="005D6A1E" w:rsidTr="004D4B53">
        <w:tc>
          <w:tcPr>
            <w:tcW w:w="4322" w:type="dxa"/>
          </w:tcPr>
          <w:p w:rsidR="00A80D47" w:rsidRPr="00132964" w:rsidRDefault="00A80D47" w:rsidP="004D4B53">
            <w:pPr>
              <w:jc w:val="right"/>
              <w:rPr>
                <w:b/>
                <w:i/>
              </w:rPr>
            </w:pPr>
            <w:r w:rsidRPr="00132964">
              <w:rPr>
                <w:b/>
                <w:i/>
              </w:rPr>
              <w:t xml:space="preserve">                        TOTAL</w:t>
            </w:r>
          </w:p>
        </w:tc>
        <w:tc>
          <w:tcPr>
            <w:tcW w:w="1598" w:type="dxa"/>
          </w:tcPr>
          <w:p w:rsidR="00A80D47" w:rsidRPr="005D6A1E" w:rsidRDefault="002A511D" w:rsidP="00D07775">
            <w:pPr>
              <w:jc w:val="right"/>
              <w:rPr>
                <w:b/>
                <w:i/>
              </w:rPr>
            </w:pPr>
            <w:r w:rsidRPr="005D6A1E">
              <w:rPr>
                <w:b/>
                <w:i/>
              </w:rPr>
              <w:t>9</w:t>
            </w:r>
            <w:r w:rsidR="00D07775" w:rsidRPr="005D6A1E">
              <w:rPr>
                <w:b/>
                <w:i/>
              </w:rPr>
              <w:t>.273</w:t>
            </w:r>
            <w:r w:rsidRPr="005D6A1E">
              <w:rPr>
                <w:b/>
                <w:i/>
              </w:rPr>
              <w:t>,</w:t>
            </w:r>
            <w:r w:rsidR="00D07775" w:rsidRPr="005D6A1E">
              <w:rPr>
                <w:b/>
                <w:i/>
              </w:rPr>
              <w:t>24</w:t>
            </w:r>
            <w:r w:rsidR="00CC169E" w:rsidRPr="005D6A1E">
              <w:rPr>
                <w:b/>
                <w:i/>
              </w:rPr>
              <w:t>€</w:t>
            </w:r>
          </w:p>
        </w:tc>
      </w:tr>
    </w:tbl>
    <w:p w:rsidR="00A80D47" w:rsidRDefault="00A80D47" w:rsidP="00A80D47"/>
    <w:p w:rsidR="00A051DA" w:rsidRPr="00914182" w:rsidRDefault="00A051DA" w:rsidP="00A80D47">
      <w:pPr>
        <w:rPr>
          <w:i/>
        </w:rPr>
      </w:pPr>
      <w:r>
        <w:tab/>
      </w:r>
      <w:r w:rsidRPr="00914182">
        <w:rPr>
          <w:i/>
          <w:color w:val="C0504D" w:themeColor="accent2"/>
        </w:rPr>
        <w:t xml:space="preserve">C) </w:t>
      </w:r>
      <w:r w:rsidR="00422DD4">
        <w:rPr>
          <w:i/>
          <w:color w:val="C0504D" w:themeColor="accent2"/>
        </w:rPr>
        <w:t>CRÉDITO DISPONIBLE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1598"/>
      </w:tblGrid>
      <w:tr w:rsidR="00282A75" w:rsidRPr="00282A75" w:rsidTr="00B8312D">
        <w:tc>
          <w:tcPr>
            <w:tcW w:w="4322" w:type="dxa"/>
          </w:tcPr>
          <w:p w:rsidR="00A051DA" w:rsidRPr="00A051DA" w:rsidRDefault="00A051DA" w:rsidP="00A051DA">
            <w:pPr>
              <w:spacing w:after="200" w:line="276" w:lineRule="auto"/>
              <w:rPr>
                <w:b/>
                <w:i/>
              </w:rPr>
            </w:pPr>
            <w:r w:rsidRPr="00A051DA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 xml:space="preserve">                                             </w:t>
            </w:r>
            <w:r w:rsidRPr="00A051DA">
              <w:rPr>
                <w:b/>
                <w:i/>
              </w:rPr>
              <w:t xml:space="preserve">                       TOTAL</w:t>
            </w:r>
          </w:p>
        </w:tc>
        <w:tc>
          <w:tcPr>
            <w:tcW w:w="1598" w:type="dxa"/>
          </w:tcPr>
          <w:p w:rsidR="00A051DA" w:rsidRPr="00282A75" w:rsidRDefault="00422DD4" w:rsidP="00A051DA">
            <w:pPr>
              <w:spacing w:after="200" w:line="276" w:lineRule="auto"/>
              <w:jc w:val="right"/>
              <w:rPr>
                <w:b/>
                <w:i/>
                <w:color w:val="00B050"/>
              </w:rPr>
            </w:pPr>
            <w:r w:rsidRPr="00282A75">
              <w:rPr>
                <w:b/>
                <w:i/>
                <w:color w:val="00B050"/>
              </w:rPr>
              <w:t>44,92</w:t>
            </w:r>
            <w:r w:rsidR="00A051DA" w:rsidRPr="00282A75">
              <w:rPr>
                <w:b/>
                <w:i/>
                <w:color w:val="00B050"/>
              </w:rPr>
              <w:t>€</w:t>
            </w:r>
          </w:p>
        </w:tc>
      </w:tr>
    </w:tbl>
    <w:p w:rsidR="00A051DA" w:rsidRDefault="00A051DA" w:rsidP="00A80D47"/>
    <w:p w:rsidR="00A051DA" w:rsidRDefault="00A051DA" w:rsidP="00A80D47"/>
    <w:p w:rsidR="00A80D47" w:rsidRPr="00914182" w:rsidRDefault="00A051DA" w:rsidP="00A80D47">
      <w:pPr>
        <w:ind w:firstLine="708"/>
        <w:rPr>
          <w:i/>
          <w:color w:val="C0504D" w:themeColor="accent2"/>
        </w:rPr>
      </w:pPr>
      <w:r w:rsidRPr="00914182">
        <w:rPr>
          <w:i/>
          <w:color w:val="C0504D" w:themeColor="accent2"/>
        </w:rPr>
        <w:t>D</w:t>
      </w:r>
      <w:r w:rsidR="00A80D47" w:rsidRPr="00914182">
        <w:rPr>
          <w:i/>
          <w:color w:val="C0504D" w:themeColor="accent2"/>
        </w:rPr>
        <w:t xml:space="preserve">) CRÉDITO </w:t>
      </w:r>
      <w:r w:rsidR="00337B91">
        <w:rPr>
          <w:i/>
          <w:color w:val="C0504D" w:themeColor="accent2"/>
        </w:rPr>
        <w:t>TOTAL</w:t>
      </w:r>
      <w:r w:rsidR="00A80D47" w:rsidRPr="00914182">
        <w:rPr>
          <w:i/>
          <w:color w:val="C0504D" w:themeColor="accent2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1598"/>
      </w:tblGrid>
      <w:tr w:rsidR="00684A29" w:rsidRPr="00684A29" w:rsidTr="004D4B53">
        <w:tc>
          <w:tcPr>
            <w:tcW w:w="4322" w:type="dxa"/>
          </w:tcPr>
          <w:p w:rsidR="00A80D47" w:rsidRPr="00132964" w:rsidRDefault="00A80D47" w:rsidP="004D4B53">
            <w:pPr>
              <w:jc w:val="right"/>
              <w:rPr>
                <w:b/>
                <w:i/>
              </w:rPr>
            </w:pPr>
            <w:r w:rsidRPr="00132964">
              <w:rPr>
                <w:b/>
                <w:i/>
              </w:rPr>
              <w:t>TOTAL  A + B</w:t>
            </w:r>
            <w:r w:rsidR="00A051DA">
              <w:rPr>
                <w:b/>
                <w:i/>
              </w:rPr>
              <w:t xml:space="preserve"> + C</w:t>
            </w:r>
          </w:p>
        </w:tc>
        <w:tc>
          <w:tcPr>
            <w:tcW w:w="1598" w:type="dxa"/>
          </w:tcPr>
          <w:p w:rsidR="00A80D47" w:rsidRPr="00684A29" w:rsidRDefault="00337B91" w:rsidP="004D4B53">
            <w:pPr>
              <w:jc w:val="right"/>
              <w:rPr>
                <w:b/>
                <w:i/>
                <w:color w:val="FF0000"/>
              </w:rPr>
            </w:pPr>
            <w:r>
              <w:rPr>
                <w:b/>
                <w:i/>
                <w:color w:val="FF0000"/>
              </w:rPr>
              <w:t>185.965,17</w:t>
            </w:r>
            <w:r w:rsidR="00A051DA" w:rsidRPr="00684A29">
              <w:rPr>
                <w:b/>
                <w:i/>
                <w:color w:val="FF0000"/>
              </w:rPr>
              <w:t>€</w:t>
            </w:r>
          </w:p>
        </w:tc>
      </w:tr>
    </w:tbl>
    <w:p w:rsidR="00A80D47" w:rsidRDefault="00A80D47" w:rsidP="00A80D47"/>
    <w:p w:rsidR="00A80D47" w:rsidRPr="00132964" w:rsidRDefault="00A80D47" w:rsidP="00A80D47">
      <w:pPr>
        <w:rPr>
          <w:b/>
          <w:i/>
        </w:rPr>
      </w:pPr>
    </w:p>
    <w:p w:rsidR="00A80D47" w:rsidRPr="00914182" w:rsidRDefault="00A80D47" w:rsidP="00A80D47">
      <w:pPr>
        <w:pStyle w:val="Prrafodelista"/>
        <w:numPr>
          <w:ilvl w:val="0"/>
          <w:numId w:val="2"/>
        </w:numPr>
        <w:rPr>
          <w:b/>
          <w:color w:val="C0504D" w:themeColor="accent2"/>
          <w:u w:val="single"/>
        </w:rPr>
      </w:pPr>
      <w:r w:rsidRPr="00914182">
        <w:rPr>
          <w:b/>
          <w:color w:val="C0504D" w:themeColor="accent2"/>
          <w:u w:val="single"/>
        </w:rPr>
        <w:t xml:space="preserve">CRÉDITO DISPONIBLE </w:t>
      </w:r>
    </w:p>
    <w:p w:rsidR="00A80D47" w:rsidRPr="00686C34" w:rsidRDefault="00A80D47" w:rsidP="00A80D47">
      <w:pPr>
        <w:rPr>
          <w:b/>
          <w:i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1598"/>
      </w:tblGrid>
      <w:tr w:rsidR="00A80D47" w:rsidTr="004D4B53">
        <w:tc>
          <w:tcPr>
            <w:tcW w:w="4322" w:type="dxa"/>
          </w:tcPr>
          <w:p w:rsidR="00A80D47" w:rsidRDefault="00DF0E02" w:rsidP="004D4B53">
            <w:r w:rsidRPr="00DF0E02">
              <w:t>CAP. II (</w:t>
            </w:r>
            <w:r>
              <w:t>Gastos bienes corrientes y servicios</w:t>
            </w:r>
            <w:r w:rsidRPr="00DF0E02">
              <w:t>)</w:t>
            </w:r>
          </w:p>
        </w:tc>
        <w:tc>
          <w:tcPr>
            <w:tcW w:w="1598" w:type="dxa"/>
          </w:tcPr>
          <w:p w:rsidR="00A80D47" w:rsidRDefault="00C74ACB" w:rsidP="004D4B53">
            <w:pPr>
              <w:jc w:val="right"/>
            </w:pPr>
            <w:r>
              <w:t>39,26</w:t>
            </w:r>
            <w:r w:rsidR="00A051DA">
              <w:t>€</w:t>
            </w:r>
          </w:p>
        </w:tc>
      </w:tr>
      <w:tr w:rsidR="00A80D47" w:rsidTr="004D4B53">
        <w:tc>
          <w:tcPr>
            <w:tcW w:w="4322" w:type="dxa"/>
          </w:tcPr>
          <w:p w:rsidR="00A80D47" w:rsidRDefault="00DF0E02" w:rsidP="004D4B53">
            <w:r>
              <w:t>CAP. VI (Ordinario inventariable</w:t>
            </w:r>
            <w:r w:rsidR="00D74898">
              <w:t>/620</w:t>
            </w:r>
            <w:r>
              <w:t>)</w:t>
            </w:r>
          </w:p>
        </w:tc>
        <w:tc>
          <w:tcPr>
            <w:tcW w:w="1598" w:type="dxa"/>
          </w:tcPr>
          <w:p w:rsidR="00A80D47" w:rsidRDefault="00282A75" w:rsidP="004D4B53">
            <w:pPr>
              <w:jc w:val="right"/>
            </w:pPr>
            <w:r>
              <w:t>5,66</w:t>
            </w:r>
            <w:r w:rsidR="00A051DA">
              <w:t>€</w:t>
            </w:r>
          </w:p>
        </w:tc>
      </w:tr>
      <w:tr w:rsidR="00282A75" w:rsidTr="004D4B53">
        <w:tc>
          <w:tcPr>
            <w:tcW w:w="4322" w:type="dxa"/>
          </w:tcPr>
          <w:p w:rsidR="00282A75" w:rsidRDefault="00282A75" w:rsidP="00282A75">
            <w:r w:rsidRPr="00DF0E02">
              <w:rPr>
                <w:lang w:val="en-US"/>
              </w:rPr>
              <w:t>CAP. VI (Inver</w:t>
            </w:r>
            <w:r>
              <w:rPr>
                <w:lang w:val="en-US"/>
              </w:rPr>
              <w:t>siones</w:t>
            </w:r>
            <w:r w:rsidRPr="00DF0E02">
              <w:rPr>
                <w:lang w:val="en-US"/>
              </w:rPr>
              <w:t xml:space="preserve"> Reales</w:t>
            </w:r>
            <w:r>
              <w:rPr>
                <w:lang w:val="en-US"/>
              </w:rPr>
              <w:t>/621</w:t>
            </w:r>
            <w:r>
              <w:rPr>
                <w:lang w:val="en-US"/>
              </w:rPr>
              <w:t>)</w:t>
            </w:r>
          </w:p>
        </w:tc>
        <w:tc>
          <w:tcPr>
            <w:tcW w:w="1598" w:type="dxa"/>
          </w:tcPr>
          <w:p w:rsidR="00282A75" w:rsidRDefault="00282A75" w:rsidP="00282A75">
            <w:pPr>
              <w:jc w:val="right"/>
            </w:pPr>
            <w:r>
              <w:t>0,19€</w:t>
            </w:r>
          </w:p>
        </w:tc>
      </w:tr>
      <w:tr w:rsidR="00282A75" w:rsidTr="004D4B53">
        <w:tc>
          <w:tcPr>
            <w:tcW w:w="4322" w:type="dxa"/>
          </w:tcPr>
          <w:p w:rsidR="00282A75" w:rsidRDefault="00282A75" w:rsidP="00282A75">
            <w:r w:rsidRPr="00DF0E02">
              <w:rPr>
                <w:lang w:val="en-US"/>
              </w:rPr>
              <w:t>CAP. VI (Inver</w:t>
            </w:r>
            <w:r>
              <w:rPr>
                <w:lang w:val="en-US"/>
              </w:rPr>
              <w:t>siones</w:t>
            </w:r>
            <w:r w:rsidRPr="00DF0E02">
              <w:rPr>
                <w:lang w:val="en-US"/>
              </w:rPr>
              <w:t xml:space="preserve"> Reales</w:t>
            </w:r>
            <w:r>
              <w:rPr>
                <w:lang w:val="en-US"/>
              </w:rPr>
              <w:t>/640)</w:t>
            </w:r>
          </w:p>
        </w:tc>
        <w:tc>
          <w:tcPr>
            <w:tcW w:w="1598" w:type="dxa"/>
          </w:tcPr>
          <w:p w:rsidR="00282A75" w:rsidRDefault="00282A75" w:rsidP="00282A75">
            <w:pPr>
              <w:jc w:val="right"/>
            </w:pPr>
            <w:r>
              <w:t>9.112,26€</w:t>
            </w:r>
          </w:p>
        </w:tc>
      </w:tr>
      <w:tr w:rsidR="00282A75" w:rsidRPr="00684A29" w:rsidTr="004D4B53">
        <w:tc>
          <w:tcPr>
            <w:tcW w:w="4322" w:type="dxa"/>
          </w:tcPr>
          <w:p w:rsidR="00282A75" w:rsidRPr="00686C34" w:rsidRDefault="00282A75" w:rsidP="00282A75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TOTAL</w:t>
            </w:r>
            <w:r w:rsidRPr="00686C34">
              <w:rPr>
                <w:b/>
                <w:i/>
              </w:rPr>
              <w:t xml:space="preserve">                            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1598" w:type="dxa"/>
          </w:tcPr>
          <w:p w:rsidR="00282A75" w:rsidRPr="00684A29" w:rsidRDefault="00282A75" w:rsidP="00282A75">
            <w:pPr>
              <w:jc w:val="right"/>
              <w:rPr>
                <w:b/>
                <w:i/>
                <w:color w:val="FF0000"/>
              </w:rPr>
            </w:pPr>
            <w:r>
              <w:rPr>
                <w:b/>
                <w:i/>
                <w:color w:val="FF0000"/>
              </w:rPr>
              <w:t>9.157,37</w:t>
            </w:r>
            <w:r w:rsidRPr="00684A29">
              <w:rPr>
                <w:b/>
                <w:i/>
                <w:color w:val="FF0000"/>
              </w:rPr>
              <w:t>€</w:t>
            </w:r>
          </w:p>
        </w:tc>
      </w:tr>
    </w:tbl>
    <w:p w:rsidR="00A80D47" w:rsidRDefault="00A80D47" w:rsidP="00A80D47"/>
    <w:p w:rsidR="00684A29" w:rsidRDefault="00684A29" w:rsidP="00684A29">
      <w:pPr>
        <w:rPr>
          <w:i/>
          <w:sz w:val="18"/>
          <w:szCs w:val="18"/>
        </w:rPr>
      </w:pPr>
      <w:r w:rsidRPr="00684A29">
        <w:rPr>
          <w:i/>
          <w:sz w:val="18"/>
          <w:szCs w:val="18"/>
        </w:rPr>
        <w:t>Nota 1.-  Ver gráficos  del reparto por conceptos en Anexos I y II</w:t>
      </w:r>
    </w:p>
    <w:p w:rsidR="00150521" w:rsidRPr="00150521" w:rsidRDefault="00084172" w:rsidP="00150521">
      <w:pPr>
        <w:rPr>
          <w:b/>
          <w:i/>
          <w:sz w:val="18"/>
          <w:szCs w:val="18"/>
        </w:rPr>
      </w:pPr>
      <w:r>
        <w:rPr>
          <w:i/>
          <w:sz w:val="18"/>
          <w:szCs w:val="18"/>
        </w:rPr>
        <w:t xml:space="preserve">Nota 2.-  Los </w:t>
      </w:r>
      <w:r w:rsidR="00150521">
        <w:rPr>
          <w:i/>
          <w:sz w:val="18"/>
          <w:szCs w:val="18"/>
        </w:rPr>
        <w:t>importe</w:t>
      </w:r>
      <w:r>
        <w:rPr>
          <w:i/>
          <w:sz w:val="18"/>
          <w:szCs w:val="18"/>
        </w:rPr>
        <w:t>s</w:t>
      </w:r>
      <w:r w:rsidR="00150521">
        <w:rPr>
          <w:i/>
          <w:sz w:val="18"/>
          <w:szCs w:val="18"/>
        </w:rPr>
        <w:t xml:space="preserve"> señalado</w:t>
      </w:r>
      <w:r>
        <w:rPr>
          <w:i/>
          <w:sz w:val="18"/>
          <w:szCs w:val="18"/>
        </w:rPr>
        <w:t>s</w:t>
      </w:r>
      <w:r w:rsidR="00150521">
        <w:rPr>
          <w:i/>
          <w:sz w:val="18"/>
          <w:szCs w:val="18"/>
        </w:rPr>
        <w:t xml:space="preserve"> en verde (176.647,01€</w:t>
      </w:r>
      <w:r>
        <w:rPr>
          <w:i/>
          <w:sz w:val="18"/>
          <w:szCs w:val="18"/>
        </w:rPr>
        <w:t xml:space="preserve"> y 44,92€</w:t>
      </w:r>
      <w:r w:rsidR="00150521">
        <w:rPr>
          <w:i/>
          <w:sz w:val="18"/>
          <w:szCs w:val="18"/>
        </w:rPr>
        <w:t>) se corresponde</w:t>
      </w:r>
      <w:r>
        <w:rPr>
          <w:i/>
          <w:sz w:val="18"/>
          <w:szCs w:val="18"/>
        </w:rPr>
        <w:t>n</w:t>
      </w:r>
      <w:r w:rsidR="00150521">
        <w:rPr>
          <w:i/>
          <w:sz w:val="18"/>
          <w:szCs w:val="18"/>
        </w:rPr>
        <w:t xml:space="preserve"> con el crédito pagado (128.987,95 €+Cr.Obl.y ADOPJ 47.659,06€)</w:t>
      </w:r>
      <w:r>
        <w:rPr>
          <w:i/>
          <w:sz w:val="18"/>
          <w:szCs w:val="18"/>
        </w:rPr>
        <w:t xml:space="preserve"> y el crédito disponible respectivamente,</w:t>
      </w:r>
      <w:r w:rsidR="00150521">
        <w:rPr>
          <w:i/>
          <w:sz w:val="18"/>
          <w:szCs w:val="18"/>
        </w:rPr>
        <w:t xml:space="preserve"> que aparece</w:t>
      </w:r>
      <w:r>
        <w:rPr>
          <w:i/>
          <w:sz w:val="18"/>
          <w:szCs w:val="18"/>
        </w:rPr>
        <w:t>n</w:t>
      </w:r>
      <w:r w:rsidR="00150521">
        <w:rPr>
          <w:i/>
          <w:sz w:val="18"/>
          <w:szCs w:val="18"/>
        </w:rPr>
        <w:t xml:space="preserve"> en la página 1 del  </w:t>
      </w:r>
      <w:r w:rsidR="00150521" w:rsidRPr="00D07775">
        <w:rPr>
          <w:b/>
          <w:i/>
          <w:sz w:val="18"/>
          <w:szCs w:val="18"/>
        </w:rPr>
        <w:t>“Informe de situación de los créditos asignados a los Centros”</w:t>
      </w:r>
      <w:r w:rsidR="00150521">
        <w:rPr>
          <w:b/>
          <w:i/>
          <w:sz w:val="24"/>
          <w:szCs w:val="24"/>
        </w:rPr>
        <w:t xml:space="preserve"> </w:t>
      </w:r>
      <w:r w:rsidR="00150521" w:rsidRPr="00150521">
        <w:rPr>
          <w:b/>
          <w:i/>
          <w:sz w:val="18"/>
          <w:szCs w:val="18"/>
        </w:rPr>
        <w:t>Documento nº 1.</w:t>
      </w:r>
    </w:p>
    <w:p w:rsidR="00150521" w:rsidRPr="00150521" w:rsidRDefault="00150521" w:rsidP="00150521">
      <w:pPr>
        <w:rPr>
          <w:b/>
          <w:i/>
          <w:sz w:val="18"/>
          <w:szCs w:val="18"/>
        </w:rPr>
      </w:pPr>
      <w:r>
        <w:rPr>
          <w:i/>
          <w:sz w:val="18"/>
          <w:szCs w:val="18"/>
        </w:rPr>
        <w:t>Nota 3</w:t>
      </w:r>
      <w:r w:rsidR="00684A29" w:rsidRPr="00684A29">
        <w:rPr>
          <w:i/>
          <w:sz w:val="18"/>
          <w:szCs w:val="18"/>
        </w:rPr>
        <w:t>.-</w:t>
      </w:r>
      <w:r w:rsidR="00684A29">
        <w:rPr>
          <w:i/>
          <w:sz w:val="18"/>
          <w:szCs w:val="18"/>
        </w:rPr>
        <w:t xml:space="preserve">  </w:t>
      </w:r>
      <w:r w:rsidR="00684A29" w:rsidRPr="00684A29">
        <w:rPr>
          <w:i/>
          <w:sz w:val="18"/>
          <w:szCs w:val="18"/>
        </w:rPr>
        <w:t xml:space="preserve"> Los importes totales </w:t>
      </w:r>
      <w:r w:rsidR="00D74898">
        <w:rPr>
          <w:i/>
          <w:sz w:val="18"/>
          <w:szCs w:val="18"/>
        </w:rPr>
        <w:t xml:space="preserve">señalados </w:t>
      </w:r>
      <w:r w:rsidR="00684A29" w:rsidRPr="00684A29">
        <w:rPr>
          <w:i/>
          <w:sz w:val="18"/>
          <w:szCs w:val="18"/>
        </w:rPr>
        <w:t>en rojo se corresponden con</w:t>
      </w:r>
      <w:r w:rsidR="00084172">
        <w:rPr>
          <w:i/>
          <w:sz w:val="18"/>
          <w:szCs w:val="18"/>
        </w:rPr>
        <w:t xml:space="preserve"> el crédito total (185.965,17€) y el crédito disponible (9.157,37€)</w:t>
      </w:r>
      <w:bookmarkStart w:id="0" w:name="_GoBack"/>
      <w:bookmarkEnd w:id="0"/>
      <w:r w:rsidR="00D74898">
        <w:rPr>
          <w:i/>
          <w:sz w:val="18"/>
          <w:szCs w:val="18"/>
        </w:rPr>
        <w:t xml:space="preserve"> que aparecen en</w:t>
      </w:r>
      <w:r>
        <w:rPr>
          <w:i/>
          <w:sz w:val="18"/>
          <w:szCs w:val="18"/>
        </w:rPr>
        <w:t xml:space="preserve"> la pág. 2</w:t>
      </w:r>
      <w:r w:rsidR="00684A29" w:rsidRPr="00684A29">
        <w:rPr>
          <w:i/>
          <w:sz w:val="18"/>
          <w:szCs w:val="18"/>
        </w:rPr>
        <w:t xml:space="preserve"> del </w:t>
      </w:r>
      <w:r w:rsidRPr="00150521">
        <w:rPr>
          <w:b/>
          <w:i/>
          <w:sz w:val="18"/>
          <w:szCs w:val="18"/>
        </w:rPr>
        <w:t>Documento nº 2 “Informe de Gastos Corrientes – Informe de Saldos”</w:t>
      </w:r>
      <w:r w:rsidRPr="00150521">
        <w:rPr>
          <w:b/>
          <w:i/>
          <w:sz w:val="18"/>
          <w:szCs w:val="18"/>
        </w:rPr>
        <w:tab/>
      </w:r>
      <w:r w:rsidRPr="00150521">
        <w:rPr>
          <w:b/>
          <w:i/>
          <w:sz w:val="18"/>
          <w:szCs w:val="18"/>
        </w:rPr>
        <w:tab/>
      </w:r>
    </w:p>
    <w:p w:rsidR="00A80D47" w:rsidRDefault="00A80D47" w:rsidP="00A80D47"/>
    <w:p w:rsidR="00A80D47" w:rsidRDefault="00A80D47" w:rsidP="00A80D47"/>
    <w:p w:rsidR="00365749" w:rsidRDefault="00365749" w:rsidP="00194933">
      <w:pPr>
        <w:jc w:val="center"/>
        <w:rPr>
          <w:i/>
        </w:rPr>
      </w:pPr>
    </w:p>
    <w:p w:rsidR="008A44D4" w:rsidRDefault="008A44D4" w:rsidP="00194933">
      <w:pPr>
        <w:jc w:val="center"/>
        <w:rPr>
          <w:i/>
        </w:rPr>
      </w:pPr>
    </w:p>
    <w:p w:rsidR="008A44D4" w:rsidRDefault="008A44D4" w:rsidP="00194933">
      <w:pPr>
        <w:jc w:val="center"/>
        <w:rPr>
          <w:i/>
        </w:rPr>
      </w:pPr>
    </w:p>
    <w:p w:rsidR="002E45BF" w:rsidRDefault="002E45BF" w:rsidP="00194933">
      <w:pPr>
        <w:jc w:val="center"/>
        <w:rPr>
          <w:i/>
        </w:rPr>
      </w:pPr>
    </w:p>
    <w:p w:rsidR="00194933" w:rsidRPr="00914182" w:rsidRDefault="00365749" w:rsidP="00194933">
      <w:pPr>
        <w:jc w:val="center"/>
        <w:rPr>
          <w:b/>
          <w:i/>
          <w:color w:val="C0504D" w:themeColor="accent2"/>
        </w:rPr>
      </w:pPr>
      <w:r w:rsidRPr="00914182">
        <w:rPr>
          <w:b/>
          <w:i/>
          <w:color w:val="C0504D" w:themeColor="accent2"/>
        </w:rPr>
        <w:t xml:space="preserve">ANEXO  I </w:t>
      </w:r>
    </w:p>
    <w:p w:rsidR="00365749" w:rsidRPr="00365749" w:rsidRDefault="00365749" w:rsidP="00194933">
      <w:pPr>
        <w:jc w:val="center"/>
        <w:rPr>
          <w:b/>
          <w:i/>
        </w:rPr>
      </w:pPr>
    </w:p>
    <w:p w:rsidR="00E608B1" w:rsidRPr="00194933" w:rsidRDefault="00E608B1" w:rsidP="00194933">
      <w:pPr>
        <w:jc w:val="center"/>
        <w:rPr>
          <w:i/>
        </w:rPr>
      </w:pPr>
    </w:p>
    <w:p w:rsidR="00A80D47" w:rsidRDefault="00A80D47" w:rsidP="00A80D47"/>
    <w:p w:rsidR="00A80D47" w:rsidRDefault="00F7677A" w:rsidP="00A80D47">
      <w:r>
        <w:rPr>
          <w:noProof/>
          <w:lang w:eastAsia="es-ES"/>
        </w:rPr>
        <w:drawing>
          <wp:inline distT="0" distB="0" distL="0" distR="0" wp14:anchorId="75B7D36F" wp14:editId="283740C3">
            <wp:extent cx="5753100" cy="46101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80D47" w:rsidRDefault="00A80D47" w:rsidP="00A80D47"/>
    <w:p w:rsidR="00A80D47" w:rsidRDefault="00A80D47" w:rsidP="00A80D47"/>
    <w:p w:rsidR="00A80D47" w:rsidRDefault="00A80D47" w:rsidP="00A80D47">
      <w:pPr>
        <w:rPr>
          <w:i/>
        </w:rPr>
      </w:pPr>
    </w:p>
    <w:p w:rsidR="00365749" w:rsidRDefault="00365749" w:rsidP="00A80D47">
      <w:pPr>
        <w:rPr>
          <w:i/>
        </w:rPr>
      </w:pPr>
    </w:p>
    <w:p w:rsidR="006D670E" w:rsidRDefault="006D670E" w:rsidP="00A80D47">
      <w:pPr>
        <w:rPr>
          <w:i/>
        </w:rPr>
      </w:pPr>
    </w:p>
    <w:p w:rsidR="006D670E" w:rsidRDefault="006D670E" w:rsidP="00A80D47">
      <w:pPr>
        <w:rPr>
          <w:i/>
        </w:rPr>
      </w:pPr>
    </w:p>
    <w:p w:rsidR="006D670E" w:rsidRDefault="006D670E" w:rsidP="00A80D47">
      <w:pPr>
        <w:rPr>
          <w:i/>
        </w:rPr>
      </w:pPr>
    </w:p>
    <w:p w:rsidR="00365749" w:rsidRDefault="00365749" w:rsidP="00A80D47">
      <w:pPr>
        <w:rPr>
          <w:i/>
        </w:rPr>
      </w:pPr>
    </w:p>
    <w:p w:rsidR="00365749" w:rsidRDefault="00365749" w:rsidP="00A80D47">
      <w:pPr>
        <w:rPr>
          <w:i/>
        </w:rPr>
      </w:pPr>
    </w:p>
    <w:p w:rsidR="00365749" w:rsidRDefault="00365749" w:rsidP="00A80D47">
      <w:pPr>
        <w:rPr>
          <w:i/>
        </w:rPr>
      </w:pPr>
    </w:p>
    <w:p w:rsidR="00365749" w:rsidRPr="00914182" w:rsidRDefault="00365749" w:rsidP="00365749">
      <w:pPr>
        <w:jc w:val="center"/>
        <w:rPr>
          <w:b/>
          <w:i/>
          <w:color w:val="C0504D" w:themeColor="accent2"/>
        </w:rPr>
      </w:pPr>
      <w:r w:rsidRPr="00914182">
        <w:rPr>
          <w:b/>
          <w:i/>
          <w:color w:val="C0504D" w:themeColor="accent2"/>
        </w:rPr>
        <w:t>ANEXO</w:t>
      </w:r>
      <w:r w:rsidR="00BB441F" w:rsidRPr="00914182">
        <w:rPr>
          <w:b/>
          <w:i/>
          <w:color w:val="C0504D" w:themeColor="accent2"/>
        </w:rPr>
        <w:t xml:space="preserve"> </w:t>
      </w:r>
      <w:r w:rsidRPr="00914182">
        <w:rPr>
          <w:b/>
          <w:i/>
          <w:color w:val="C0504D" w:themeColor="accent2"/>
        </w:rPr>
        <w:t xml:space="preserve"> II</w:t>
      </w:r>
    </w:p>
    <w:p w:rsidR="00E56619" w:rsidRPr="00651216" w:rsidRDefault="00194933">
      <w:r>
        <w:rPr>
          <w:noProof/>
          <w:lang w:eastAsia="es-ES"/>
        </w:rPr>
        <w:drawing>
          <wp:inline distT="0" distB="0" distL="0" distR="0" wp14:anchorId="046D341B" wp14:editId="6C74A3CE">
            <wp:extent cx="5692140" cy="3924300"/>
            <wp:effectExtent l="0" t="0" r="22860" b="19050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sectPr w:rsidR="00E56619" w:rsidRPr="00651216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3C5" w:rsidRDefault="001D73C5" w:rsidP="002D7F60">
      <w:pPr>
        <w:spacing w:after="0" w:line="240" w:lineRule="auto"/>
      </w:pPr>
      <w:r>
        <w:separator/>
      </w:r>
    </w:p>
  </w:endnote>
  <w:endnote w:type="continuationSeparator" w:id="0">
    <w:p w:rsidR="001D73C5" w:rsidRDefault="001D73C5" w:rsidP="002D7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5527821"/>
      <w:docPartObj>
        <w:docPartGallery w:val="Page Numbers (Bottom of Page)"/>
        <w:docPartUnique/>
      </w:docPartObj>
    </w:sdtPr>
    <w:sdtEndPr/>
    <w:sdtContent>
      <w:p w:rsidR="00C510D7" w:rsidRDefault="00C510D7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4172">
          <w:rPr>
            <w:noProof/>
          </w:rPr>
          <w:t>5</w:t>
        </w:r>
        <w:r>
          <w:fldChar w:fldCharType="end"/>
        </w:r>
      </w:p>
    </w:sdtContent>
  </w:sdt>
  <w:p w:rsidR="002D7F60" w:rsidRDefault="002D7F6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3C5" w:rsidRDefault="001D73C5" w:rsidP="002D7F60">
      <w:pPr>
        <w:spacing w:after="0" w:line="240" w:lineRule="auto"/>
      </w:pPr>
      <w:r>
        <w:separator/>
      </w:r>
    </w:p>
  </w:footnote>
  <w:footnote w:type="continuationSeparator" w:id="0">
    <w:p w:rsidR="001D73C5" w:rsidRDefault="001D73C5" w:rsidP="002D7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CAE" w:rsidRDefault="001B4CAE">
    <w:pPr>
      <w:pStyle w:val="Encabezado"/>
    </w:pPr>
  </w:p>
  <w:p w:rsidR="001B4CAE" w:rsidRDefault="001B4CAE">
    <w:pPr>
      <w:pStyle w:val="Encabezado"/>
    </w:pPr>
  </w:p>
  <w:p w:rsidR="001B4CAE" w:rsidRDefault="001B4CAE">
    <w:pPr>
      <w:pStyle w:val="Encabezado"/>
    </w:pPr>
  </w:p>
  <w:p w:rsidR="001B4CAE" w:rsidRDefault="001B4CA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AB25E3"/>
    <w:multiLevelType w:val="hybridMultilevel"/>
    <w:tmpl w:val="3306CE54"/>
    <w:lvl w:ilvl="0" w:tplc="0C0A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B42F2"/>
    <w:multiLevelType w:val="hybridMultilevel"/>
    <w:tmpl w:val="07CA459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DE2"/>
    <w:rsid w:val="00010D70"/>
    <w:rsid w:val="00024B2E"/>
    <w:rsid w:val="00073356"/>
    <w:rsid w:val="000740D0"/>
    <w:rsid w:val="00084172"/>
    <w:rsid w:val="000E0966"/>
    <w:rsid w:val="000F3D17"/>
    <w:rsid w:val="00113DAD"/>
    <w:rsid w:val="001225C2"/>
    <w:rsid w:val="0013016B"/>
    <w:rsid w:val="001322CA"/>
    <w:rsid w:val="00132964"/>
    <w:rsid w:val="00150521"/>
    <w:rsid w:val="00187F2B"/>
    <w:rsid w:val="00194933"/>
    <w:rsid w:val="001B36E0"/>
    <w:rsid w:val="001B3ADE"/>
    <w:rsid w:val="001B4CAE"/>
    <w:rsid w:val="001B4EF5"/>
    <w:rsid w:val="001D1B76"/>
    <w:rsid w:val="001D73C5"/>
    <w:rsid w:val="001F1805"/>
    <w:rsid w:val="0020745E"/>
    <w:rsid w:val="00211D5E"/>
    <w:rsid w:val="00240761"/>
    <w:rsid w:val="00257A5E"/>
    <w:rsid w:val="0026297B"/>
    <w:rsid w:val="00276CFD"/>
    <w:rsid w:val="00282A75"/>
    <w:rsid w:val="002956D7"/>
    <w:rsid w:val="002A511D"/>
    <w:rsid w:val="002D462C"/>
    <w:rsid w:val="002D7F60"/>
    <w:rsid w:val="002E45BF"/>
    <w:rsid w:val="002E4AF3"/>
    <w:rsid w:val="002E66FB"/>
    <w:rsid w:val="003312AB"/>
    <w:rsid w:val="00336843"/>
    <w:rsid w:val="00337B91"/>
    <w:rsid w:val="00365749"/>
    <w:rsid w:val="00370F66"/>
    <w:rsid w:val="00376B8F"/>
    <w:rsid w:val="00394B9C"/>
    <w:rsid w:val="003D7FAC"/>
    <w:rsid w:val="00422DD4"/>
    <w:rsid w:val="0042799C"/>
    <w:rsid w:val="00431DF0"/>
    <w:rsid w:val="004A28B4"/>
    <w:rsid w:val="0052489D"/>
    <w:rsid w:val="0055588F"/>
    <w:rsid w:val="005708A5"/>
    <w:rsid w:val="00593E63"/>
    <w:rsid w:val="005D6A1E"/>
    <w:rsid w:val="006240B7"/>
    <w:rsid w:val="006278DD"/>
    <w:rsid w:val="00637F52"/>
    <w:rsid w:val="00651216"/>
    <w:rsid w:val="0067792A"/>
    <w:rsid w:val="006831B5"/>
    <w:rsid w:val="006832C8"/>
    <w:rsid w:val="00683906"/>
    <w:rsid w:val="00684A29"/>
    <w:rsid w:val="00686C34"/>
    <w:rsid w:val="006C0EA6"/>
    <w:rsid w:val="006C5C20"/>
    <w:rsid w:val="006D670E"/>
    <w:rsid w:val="0077198A"/>
    <w:rsid w:val="0079173B"/>
    <w:rsid w:val="007C2324"/>
    <w:rsid w:val="007C72B3"/>
    <w:rsid w:val="007E409D"/>
    <w:rsid w:val="007E4485"/>
    <w:rsid w:val="008254EF"/>
    <w:rsid w:val="00830EBE"/>
    <w:rsid w:val="008342CA"/>
    <w:rsid w:val="0085692E"/>
    <w:rsid w:val="00870DE7"/>
    <w:rsid w:val="00873B3F"/>
    <w:rsid w:val="008773E5"/>
    <w:rsid w:val="00887359"/>
    <w:rsid w:val="00887FA9"/>
    <w:rsid w:val="008A3FAC"/>
    <w:rsid w:val="008A44D4"/>
    <w:rsid w:val="008C6FF6"/>
    <w:rsid w:val="00914182"/>
    <w:rsid w:val="00927D18"/>
    <w:rsid w:val="00946A0D"/>
    <w:rsid w:val="009A10B9"/>
    <w:rsid w:val="009F2026"/>
    <w:rsid w:val="00A051DA"/>
    <w:rsid w:val="00A524DB"/>
    <w:rsid w:val="00A80D47"/>
    <w:rsid w:val="00AB6138"/>
    <w:rsid w:val="00AC0461"/>
    <w:rsid w:val="00AD2168"/>
    <w:rsid w:val="00B16284"/>
    <w:rsid w:val="00B31E93"/>
    <w:rsid w:val="00B42DD0"/>
    <w:rsid w:val="00B968E9"/>
    <w:rsid w:val="00BB441F"/>
    <w:rsid w:val="00BF64E5"/>
    <w:rsid w:val="00C4098F"/>
    <w:rsid w:val="00C510D7"/>
    <w:rsid w:val="00C74ACB"/>
    <w:rsid w:val="00C83464"/>
    <w:rsid w:val="00C848C4"/>
    <w:rsid w:val="00C90AA6"/>
    <w:rsid w:val="00CC169E"/>
    <w:rsid w:val="00CD01D1"/>
    <w:rsid w:val="00D01471"/>
    <w:rsid w:val="00D07775"/>
    <w:rsid w:val="00D3340F"/>
    <w:rsid w:val="00D52BE6"/>
    <w:rsid w:val="00D74898"/>
    <w:rsid w:val="00D92597"/>
    <w:rsid w:val="00D9648C"/>
    <w:rsid w:val="00DA2961"/>
    <w:rsid w:val="00DD697A"/>
    <w:rsid w:val="00DF0E02"/>
    <w:rsid w:val="00E14DE2"/>
    <w:rsid w:val="00E56619"/>
    <w:rsid w:val="00E608B1"/>
    <w:rsid w:val="00EF3A28"/>
    <w:rsid w:val="00F7677A"/>
    <w:rsid w:val="00F95052"/>
    <w:rsid w:val="00FA136A"/>
    <w:rsid w:val="00FB1E96"/>
    <w:rsid w:val="00FF298A"/>
    <w:rsid w:val="00FF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5DC6D5"/>
  <w15:docId w15:val="{9F548158-6955-4236-B69F-4264733A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14D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3340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87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7FA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D7F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7F60"/>
  </w:style>
  <w:style w:type="paragraph" w:styleId="Piedepgina">
    <w:name w:val="footer"/>
    <w:basedOn w:val="Normal"/>
    <w:link w:val="PiedepginaCar"/>
    <w:uiPriority w:val="99"/>
    <w:unhideWhenUsed/>
    <w:rsid w:val="002D7F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7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Hoja_de_c_lculo_de_Microsoft_Excel1.xlsx"/><Relationship Id="rId1" Type="http://schemas.openxmlformats.org/officeDocument/2006/relationships/image" Target="../media/image1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ES">
                <a:solidFill>
                  <a:schemeClr val="accent2"/>
                </a:solidFill>
              </a:rPr>
              <a:t>Conceptos</a:t>
            </a:r>
            <a:r>
              <a:rPr lang="es-ES" baseline="0">
                <a:solidFill>
                  <a:schemeClr val="accent2"/>
                </a:solidFill>
              </a:rPr>
              <a:t> por </a:t>
            </a:r>
            <a:r>
              <a:rPr lang="es-ES">
                <a:solidFill>
                  <a:schemeClr val="accent2"/>
                </a:solidFill>
              </a:rPr>
              <a:t>porcentajes</a:t>
            </a:r>
          </a:p>
        </c:rich>
      </c:tx>
      <c:layout>
        <c:manualLayout>
          <c:xMode val="edge"/>
          <c:yMode val="edge"/>
          <c:x val="0.40512141280353203"/>
          <c:y val="2.2038567493112948E-2"/>
        </c:manualLayout>
      </c:layout>
      <c:overlay val="1"/>
    </c:title>
    <c:autoTitleDeleted val="0"/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Ventas</c:v>
                </c:pt>
              </c:strCache>
            </c:strRef>
          </c:tx>
          <c:dLbls>
            <c:dLbl>
              <c:idx val="3"/>
              <c:layout>
                <c:manualLayout>
                  <c:x val="0.19683595615428184"/>
                  <c:y val="-7.153747983336945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Resto Conceptos
56%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065-4387-8A73-CF972DF222F4}"/>
                </c:ext>
              </c:extLst>
            </c:dLbl>
            <c:numFmt formatCode="0%" sourceLinked="0"/>
            <c:spPr>
              <a:noFill/>
              <a:ln>
                <a:noFill/>
              </a:ln>
              <a:effectLst/>
            </c:sp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Hoja1!$A$2:$A$5</c:f>
              <c:strCache>
                <c:ptCount val="4"/>
                <c:pt idx="0">
                  <c:v>Energía eléctrica</c:v>
                </c:pt>
                <c:pt idx="1">
                  <c:v>Teléfono</c:v>
                </c:pt>
                <c:pt idx="2">
                  <c:v>Gas</c:v>
                </c:pt>
                <c:pt idx="3">
                  <c:v>Resto</c:v>
                </c:pt>
              </c:strCache>
            </c:strRef>
          </c:cat>
          <c:val>
            <c:numRef>
              <c:f>Hoja1!$B$2:$B$5</c:f>
              <c:numCache>
                <c:formatCode>"€"#,##0.00_);[Red]\("€"#,##0.00\)</c:formatCode>
                <c:ptCount val="4"/>
                <c:pt idx="0">
                  <c:v>35692.639999999999</c:v>
                </c:pt>
                <c:pt idx="1">
                  <c:v>12626.23</c:v>
                </c:pt>
                <c:pt idx="2">
                  <c:v>26313.3</c:v>
                </c:pt>
                <c:pt idx="3">
                  <c:v>85877.91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065-4387-8A73-CF972DF222F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baseline="0">
                <a:solidFill>
                  <a:schemeClr val="accent2"/>
                </a:solidFill>
              </a:rPr>
              <a:t>Conceptos por importes</a:t>
            </a:r>
            <a:endParaRPr lang="en-US">
              <a:solidFill>
                <a:schemeClr val="accent2"/>
              </a:solidFill>
            </a:endParaRP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6146174605466276"/>
          <c:y val="0.13617333027546313"/>
          <c:w val="0.75367287481166401"/>
          <c:h val="0.4422192492928675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invertIfNegative val="0"/>
          <c:dPt>
            <c:idx val="5"/>
            <c:invertIfNegative val="0"/>
            <c:bubble3D val="0"/>
            <c:spPr>
              <a:blipFill>
                <a:blip xmlns:r="http://schemas.openxmlformats.org/officeDocument/2006/relationships" r:embed="rId1"/>
                <a:tile tx="0" ty="0" sx="100000" sy="100000" flip="none" algn="tl"/>
              </a:blipFill>
            </c:spPr>
            <c:extLst>
              <c:ext xmlns:c16="http://schemas.microsoft.com/office/drawing/2014/chart" uri="{C3380CC4-5D6E-409C-BE32-E72D297353CC}">
                <c16:uniqueId val="{00000001-D085-4D9E-8A92-B84D4BCD9FB5}"/>
              </c:ext>
            </c:extLst>
          </c:dPt>
          <c:dPt>
            <c:idx val="6"/>
            <c:invertIfNegative val="0"/>
            <c:bubble3D val="0"/>
            <c:spPr>
              <a:blipFill>
                <a:blip xmlns:r="http://schemas.openxmlformats.org/officeDocument/2006/relationships" r:embed="rId1"/>
                <a:tile tx="0" ty="0" sx="100000" sy="100000" flip="none" algn="tl"/>
              </a:blipFill>
            </c:spPr>
            <c:extLst>
              <c:ext xmlns:c16="http://schemas.microsoft.com/office/drawing/2014/chart" uri="{C3380CC4-5D6E-409C-BE32-E72D297353CC}">
                <c16:uniqueId val="{00000003-D085-4D9E-8A92-B84D4BCD9FB5}"/>
              </c:ext>
            </c:extLst>
          </c:dPt>
          <c:dPt>
            <c:idx val="8"/>
            <c:invertIfNegative val="0"/>
            <c:bubble3D val="0"/>
            <c:spPr>
              <a:blipFill>
                <a:blip xmlns:r="http://schemas.openxmlformats.org/officeDocument/2006/relationships" r:embed="rId1"/>
                <a:tile tx="0" ty="0" sx="100000" sy="100000" flip="none" algn="tl"/>
              </a:blipFill>
            </c:spPr>
            <c:extLst>
              <c:ext xmlns:c16="http://schemas.microsoft.com/office/drawing/2014/chart" uri="{C3380CC4-5D6E-409C-BE32-E72D297353CC}">
                <c16:uniqueId val="{00000005-D085-4D9E-8A92-B84D4BCD9FB5}"/>
              </c:ext>
            </c:extLst>
          </c:dPt>
          <c:cat>
            <c:strRef>
              <c:f>Hoja1!$A$2:$A$21</c:f>
              <c:strCache>
                <c:ptCount val="20"/>
                <c:pt idx="0">
                  <c:v>212      – Repar. edificios y otras construcciones</c:v>
                </c:pt>
                <c:pt idx="1">
                  <c:v>215      – Repar. Mobiliario y enseres</c:v>
                </c:pt>
                <c:pt idx="2">
                  <c:v>216      – Repar. Equipam. proc. Información</c:v>
                </c:pt>
                <c:pt idx="3">
                  <c:v>220.00 – Mat. oficina no inventariable</c:v>
                </c:pt>
                <c:pt idx="4">
                  <c:v>220.02 – Mat. informático (no inventariable)</c:v>
                </c:pt>
                <c:pt idx="5">
                  <c:v>221.00 -  Energía Eléctrica</c:v>
                </c:pt>
                <c:pt idx="6">
                  <c:v>221.02 -  Gas</c:v>
                </c:pt>
                <c:pt idx="7">
                  <c:v>221.09  - Otros suministros</c:v>
                </c:pt>
                <c:pt idx="8">
                  <c:v>222.00 - Comunicaciones telefónicas</c:v>
                </c:pt>
                <c:pt idx="9">
                  <c:v>222.01 – Comunicaciones postales</c:v>
                </c:pt>
                <c:pt idx="10">
                  <c:v>226.01 – Atenciones protocolarias y represent.</c:v>
                </c:pt>
                <c:pt idx="11">
                  <c:v>226.06 – Reuniones y conferencias</c:v>
                </c:pt>
                <c:pt idx="12">
                  <c:v>226.09---Otros</c:v>
                </c:pt>
                <c:pt idx="13">
                  <c:v>227.05 – Procesos electorales</c:v>
                </c:pt>
                <c:pt idx="14">
                  <c:v>227.06 --Estudios y Trabajos Técnicos</c:v>
                </c:pt>
                <c:pt idx="15">
                  <c:v>230      – Dietas</c:v>
                </c:pt>
                <c:pt idx="16">
                  <c:v>231      – Locomoción</c:v>
                </c:pt>
                <c:pt idx="17">
                  <c:v>620.04 – Mobiliario y enseres (inventariable)</c:v>
                </c:pt>
                <c:pt idx="18">
                  <c:v>620.05 – Equip. proc. Información (inventar.)</c:v>
                </c:pt>
                <c:pt idx="19">
                  <c:v>620.08 --Aplicaciones Informáticas</c:v>
                </c:pt>
              </c:strCache>
            </c:strRef>
          </c:cat>
          <c:val>
            <c:numRef>
              <c:f>Hoja1!$B$2:$B$21</c:f>
              <c:numCache>
                <c:formatCode>"€"#,##0.00_);[Red]\("€"#,##0.00\)</c:formatCode>
                <c:ptCount val="20"/>
                <c:pt idx="0">
                  <c:v>12715.87</c:v>
                </c:pt>
                <c:pt idx="1">
                  <c:v>238.41</c:v>
                </c:pt>
                <c:pt idx="2">
                  <c:v>205.39</c:v>
                </c:pt>
                <c:pt idx="3">
                  <c:v>5349.47</c:v>
                </c:pt>
                <c:pt idx="4">
                  <c:v>3049.93</c:v>
                </c:pt>
                <c:pt idx="5">
                  <c:v>35692.639999999999</c:v>
                </c:pt>
                <c:pt idx="6">
                  <c:v>26313.3</c:v>
                </c:pt>
                <c:pt idx="7">
                  <c:v>18242.900000000001</c:v>
                </c:pt>
                <c:pt idx="8">
                  <c:v>12626.23</c:v>
                </c:pt>
                <c:pt idx="9">
                  <c:v>1742.52</c:v>
                </c:pt>
                <c:pt idx="10">
                  <c:v>1235.5999999999999</c:v>
                </c:pt>
                <c:pt idx="11">
                  <c:v>1844.48</c:v>
                </c:pt>
                <c:pt idx="12">
                  <c:v>238.22</c:v>
                </c:pt>
                <c:pt idx="13">
                  <c:v>830</c:v>
                </c:pt>
                <c:pt idx="14">
                  <c:v>295.32</c:v>
                </c:pt>
                <c:pt idx="15">
                  <c:v>307.85000000000002</c:v>
                </c:pt>
                <c:pt idx="16">
                  <c:v>724.54</c:v>
                </c:pt>
                <c:pt idx="17">
                  <c:v>11222.1</c:v>
                </c:pt>
                <c:pt idx="18">
                  <c:v>40831.410000000003</c:v>
                </c:pt>
                <c:pt idx="19">
                  <c:v>2940.83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D085-4D9E-8A92-B84D4BCD9FB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4002944"/>
        <c:axId val="69473024"/>
        <c:axId val="0"/>
      </c:bar3DChart>
      <c:catAx>
        <c:axId val="1140029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s-ES"/>
          </a:p>
        </c:txPr>
        <c:crossAx val="69473024"/>
        <c:crosses val="autoZero"/>
        <c:auto val="1"/>
        <c:lblAlgn val="ctr"/>
        <c:lblOffset val="100"/>
        <c:noMultiLvlLbl val="0"/>
      </c:catAx>
      <c:valAx>
        <c:axId val="69473024"/>
        <c:scaling>
          <c:orientation val="minMax"/>
        </c:scaling>
        <c:delete val="0"/>
        <c:axPos val="l"/>
        <c:majorGridlines/>
        <c:numFmt formatCode="&quot;€&quot;#,##0.00_);[Red]\(&quot;€&quot;#,##0.00\)" sourceLinked="1"/>
        <c:majorTickMark val="out"/>
        <c:minorTickMark val="none"/>
        <c:tickLblPos val="nextTo"/>
        <c:crossAx val="114002944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BC657-A262-408E-8B6D-442288860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438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administradorcentro</dc:creator>
  <cp:lastModifiedBy>administradorcentro</cp:lastModifiedBy>
  <cp:revision>27</cp:revision>
  <cp:lastPrinted>2018-02-23T12:42:00Z</cp:lastPrinted>
  <dcterms:created xsi:type="dcterms:W3CDTF">2018-02-22T16:22:00Z</dcterms:created>
  <dcterms:modified xsi:type="dcterms:W3CDTF">2018-02-26T11:41:00Z</dcterms:modified>
</cp:coreProperties>
</file>